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29733-2025 i Ludvika kommun</w:t>
      </w:r>
    </w:p>
    <w:p>
      <w:r>
        <w:t>Denna tillsynsbegäran behandlar höga naturvärden i avverkningsanmälan A 29733-2025 i Ludvika kommun som inkom 2025-06-17 och omfattar 10,4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923427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9733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923427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6666726, E 468433 i SWEREF 99 TM.</w:t>
      </w:r>
    </w:p>
    <w:p>
      <w:r>
        <w:t>I avverkningsanmälan finns fynd av 1 naturvårdsarter, varav 1 är typisk (T) och 1 är signalart (S): stuplav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Stuplav</w:t>
      </w:r>
      <w:r>
        <w:t xml:space="preserve"> är en mycket bra signalart i hela sitt utbredningsområde och förekommer nästan enbart i skogsmiljöer med höga naturvärden. Den indikerar långvarig förekomst av gamla lövträd och miljöer med konstant hög luftfuktighet. I skogar med suboceaniskt klimat finns det en mycket sällsynt parasit, njurlavsknapp </w:t>
      </w:r>
      <w:r>
        <w:rPr>
          <w:i/>
        </w:rPr>
        <w:t>Pletocarpon nephromeum</w:t>
      </w:r>
      <w:r>
        <w:t xml:space="preserve"> (EN), som växer på stuplav. Ytterligare tre sällsynta lavparasiter, </w:t>
      </w:r>
      <w:r>
        <w:rPr>
          <w:i/>
        </w:rPr>
        <w:t>Protounguicularia nephromatis</w:t>
      </w:r>
      <w:r>
        <w:t xml:space="preserve"> (VU), </w:t>
      </w:r>
      <w:r>
        <w:rPr>
          <w:i/>
        </w:rPr>
        <w:t>Refractohilum galligenum</w:t>
      </w:r>
      <w:r>
        <w:t xml:space="preserve"> (NT) och </w:t>
      </w:r>
      <w:r>
        <w:rPr>
          <w:i/>
        </w:rPr>
        <w:t>Roselliniella nephromatis</w:t>
      </w:r>
      <w:r>
        <w:t xml:space="preserve"> (DD), kan också påträffas på stuplav. Stuplav är typisk art för </w:t>
      </w:r>
      <w:r>
        <w:rPr>
          <w:i/>
        </w:rPr>
        <w:t>9010 Taiga</w:t>
      </w:r>
      <w:r>
        <w:t xml:space="preserve"> (SLU Artdatabanken, 2026;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