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17959-2025 i Ludvika kommun</w:t>
      </w:r>
    </w:p>
    <w:p>
      <w:r>
        <w:t>Detta dokument behandlar höga naturvärden i avverkningsanmälan A 17959-2025 i Ludvika kommun. Denna avverkningsanmälan inkom 2025-04-14 00:00:00 och omfattar 2,9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rödgul trumpetsvamp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321808"/>
            <wp:docPr id="1" name="Picture 1"/>
            <wp:cNvGraphicFramePr>
              <a:graphicFrameLocks noChangeAspect="1"/>
            </wp:cNvGraphicFramePr>
            <a:graphic>
              <a:graphicData uri="http://schemas.openxmlformats.org/drawingml/2006/picture">
                <pic:pic>
                  <pic:nvPicPr>
                    <pic:cNvPr id="0" name="A 17959-2025 karta.png"/>
                    <pic:cNvPicPr/>
                  </pic:nvPicPr>
                  <pic:blipFill>
                    <a:blip r:embed="rId16"/>
                    <a:stretch>
                      <a:fillRect/>
                    </a:stretch>
                  </pic:blipFill>
                  <pic:spPr>
                    <a:xfrm>
                      <a:off x="0" y="0"/>
                      <a:ext cx="5486400" cy="532180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6682905, E 503262 i SWEREF 99 TM.</w:t>
      </w:r>
    </w:p>
    <w:p>
      <w:r>
        <w:rPr>
          <w:b/>
        </w:rPr>
        <w:t xml:space="preserve">Rödgul trumpetsvamp </w:t>
      </w:r>
      <w:r>
        <w:t>signalerar kalkrika barrsumpskogar eller avgränsade små mineralrika ytor i barrskogslandskapet, vilka normalt har höga naturvärden. I urbergsbygder är den en bra signalart på känsliga skogsbiotoper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2026-06-07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