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knärot (VU, §8), barrviolspindling (NT), dofttaggsvamp (NT), koralltaggsvamp (NT), solfjäderlav (NT), dropptaggsvamp (S), gulgrön kantmusseron (S), rödgul trumpetsvamp (S), skarp dropptaggsvamp (S) och brudsporre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pPr>
        <w:pStyle w:val="Heading1"/>
      </w:pPr>
      <w:r>
        <w:t>Fridlysta arter</w:t>
      </w:r>
    </w:p>
    <w:p>
      <w:r>
        <w:t>Följande fridlysta arter har sina livsmiljöer och växtplatser i den avverkningsanmälda skogen: mosippa (EN, §8), knärot (VU, §8) och brudsporre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7750206"/>
            <wp:docPr id="2" name="Picture 2"/>
            <wp:cNvGraphicFramePr>
              <a:graphicFrameLocks noChangeAspect="1"/>
            </wp:cNvGraphicFramePr>
            <a:graphic>
              <a:graphicData uri="http://schemas.openxmlformats.org/drawingml/2006/picture">
                <pic:pic>
                  <pic:nvPicPr>
                    <pic:cNvPr id="0" name="A 47907-2023 karta knärot.png"/>
                    <pic:cNvPicPr/>
                  </pic:nvPicPr>
                  <pic:blipFill>
                    <a:blip r:embed="rId17"/>
                    <a:stretch>
                      <a:fillRect/>
                    </a:stretch>
                  </pic:blipFill>
                  <pic:spPr>
                    <a:xfrm>
                      <a:off x="0" y="0"/>
                      <a:ext cx="5486400" cy="775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6675460, E 509497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