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9071-2026 i Ludvika kommun</w:t>
      </w:r>
    </w:p>
    <w:p>
      <w:r>
        <w:t>Detta dokument behandlar höga naturvärden i avverkningsanmälan A 9071-2026 i Ludvika kommun. Denna avverkningsanmälan inkom 2026-02-16 00:00:00 och omfattar 51,8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garnlav (NT), granticka (NT), gränsticka (NT), spillkråka (NT, §4), tallticka (NT), tretåig hackspett (NT, §4), ullticka (NT), vedtrappmossa (NT), bronshjon (S), dropptaggsvamp (S), vedticka (S), pärluggla (§4)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9071-2026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6665835, E 497024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tretåig hackspett (NT, §4), pärluggla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2.41 ha med buffertzonerna och får av detta skäl inte avverkas.</w:t>
      </w:r>
    </w:p>
    <w:p>
      <w:pPr>
        <w:pStyle w:val="Caption"/>
      </w:pPr>
      <w:r>
        <w:drawing>
          <wp:inline xmlns:a="http://schemas.openxmlformats.org/drawingml/2006/main" xmlns:pic="http://schemas.openxmlformats.org/drawingml/2006/picture">
            <wp:extent cx="5486400" cy="4480093"/>
            <wp:docPr id="2" name="Picture 2"/>
            <wp:cNvGraphicFramePr>
              <a:graphicFrameLocks noChangeAspect="1"/>
            </wp:cNvGraphicFramePr>
            <a:graphic>
              <a:graphicData uri="http://schemas.openxmlformats.org/drawingml/2006/picture">
                <pic:pic>
                  <pic:nvPicPr>
                    <pic:cNvPr id="0" name="A 9071-2026 karta knärot.png"/>
                    <pic:cNvPicPr/>
                  </pic:nvPicPr>
                  <pic:blipFill>
                    <a:blip r:embed="rId17"/>
                    <a:stretch>
                      <a:fillRect/>
                    </a:stretch>
                  </pic:blipFill>
                  <pic:spPr>
                    <a:xfrm>
                      <a:off x="0" y="0"/>
                      <a:ext cx="5486400" cy="44800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6665835, E 497024 i SWEREF 99 TM.</w:t>
      </w:r>
    </w:p>
    <w:p>
      <w:pPr>
        <w:pStyle w:val="Caption"/>
      </w:pPr>
    </w:p>
    <w:p>
      <w:r>
        <w:rPr>
          <w:b/>
        </w:rPr>
        <w:t>Pärluggla (§4)</w:t>
      </w:r>
      <w:r>
        <w:t xml:space="preserve">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Pärlugglan är typisk art för Västlig taiga (9010) och omfattas av fågeldirektivets bilaga 1. Den har minskat kraftigt under de senaste åren och enligt artdatabankens preliminära bedömning kommer den att bli rödlistad som nära hotad (NT) i nästa rödlista som kommer 2026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Pärluggla – ekologi samt krav på livsmiljön</w:t>
      </w:r>
    </w:p>
    <w:p>
      <w:r>
        <w:t>Pärluggla (§4)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(SLU Artdatabanken, 2024).</w:t>
      </w:r>
    </w:p>
    <w:p>
      <w:r>
        <w:t>Hemområdet är i storleksordningen 200–500 hektar, men storleken varierar kraftigt beroende på hur mycket föda det finns. Under dåliga gnagarår kan pärlugglan jaga upp till 4 km från boet medan den under bra år ofta håller sig inom 1 km. Pärluggla är typisk art för Västlig taiga (EU-kod 9010) och omfattas av fågeldirektivets bilaga 1. Den har minskat kraftigt under de senaste åren och enligt artdatabankens preliminära bedömning kommer den att bli rödlistad som nära hotad (NT) i nästa rödlista som kommer 2026 (SLU Artdatabanken, 2024).</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2024.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