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23658-2025 i Ludvika kommun</w:t>
      </w:r>
    </w:p>
    <w:p>
      <w:r>
        <w:t>Detta dokument behandlar höga naturvärden i avverkningsanmälan A 23658-2025 i Ludvika kommun. Denna avverkningsanmälan inkom 2025-05-09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tornseglare (EN, §4), duvhök (NT, §4), entita (NT, §4), grönsångare (NT, §4), hornuggla (NT, §4), järpe (NT, §4), mindre hackspett (NT, §4), nordfladdermus (NT, §4a), talltita (NT, §4), fjällig taggsvamp s.str. (S), tajgafladdermus (§4a), tjäder (§4)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658-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6664342, E 483450 i SWEREF 99 TM.</w:t>
      </w:r>
    </w:p>
    <w:p>
      <w:pPr>
        <w:pStyle w:val="Heading1"/>
      </w:pPr>
      <w:r>
        <w:t>Fridlysta arter</w:t>
      </w:r>
    </w:p>
    <w:p>
      <w:r>
        <w:t>Följande fridlysta arter har sina livsmiljöer och växtplatser i den avverkningsanmälda skogen: tornseglare (EN, §4), duvhök (NT, §4), entita (NT, §4), grönsångare (NT, §4), hornuggla (NT, §4), järpe (NT, §4), mindre hackspett (NT, §4), nordfladdermus (NT, §4a), talltita (NT, §4), tajgafladdermus (§4a), tjäder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