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23658-2025 i Ludvika kommun</w:t>
      </w:r>
    </w:p>
    <w:p>
      <w:r>
        <w:t>Detta dokument behandlar höga naturvärden i avverkningsanmälan A 23658-2025 i Ludvika kommun. Denna avverkningsanmälan inkom 2025-05-09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tornseglare (EN, §4), duvhök (NT, §4), entita (NT, §4), grönsångare (NT, §4), hornuggla (NT, §4), järpe (NT, §4), mindre hackspett (NT, §4), nordfladdermus (NT, §4a), talltita (NT, §4), fjällig taggsvamp s.str. (S), tajgafladdermus (§4a), tjäder (§4) och vattenfladdermus (§4a).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23658-2025 karta.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6664342, E 483450 i SWEREF 99 TM.</w:t>
      </w:r>
    </w:p>
    <w:p>
      <w:pPr>
        <w:pStyle w:val="Heading1"/>
      </w:pPr>
      <w:r>
        <w:t>Fridlysta arter</w:t>
      </w:r>
    </w:p>
    <w:p>
      <w:r>
        <w:t>Följande fridlysta arter har sina livsmiljöer och växtplatser i den avverkningsanmälda skogen: tornseglare (EN, §4), duvhök (NT, §4), entita (NT, §4), grönsångare (NT, §4), hornuggla (NT, §4), järpe (NT, §4), mindre hackspett (NT, §4), nordfladdermus (NT, §4a), talltita (NT, §4), tajgafladdermus (§4a), tjäder (§4) och vattenfladdermus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Tajgafladdermus (§4a)</w:t>
      </w:r>
      <w:r>
        <w:t xml:space="preserve"> omfattas av bilaga 4 EU:s art- och habitatdirektiv vilket innebär ett strikt skydd för arten och dess livsmiljöer. Tajgafladdermusen är på alla sätt mycket lik den närstående arten mustaschfladdermus och påträffas i alla skogstyper, men förekomsten är störst vid sumpskogar och blöta skogar. Den jagar såväl nära marken som uppe i trädkronorna. Under kolonitiden rör sig tajgafladdermusen inom ett mycket litet område, oftast max 1 km från kolonin och undviker att flyga i öppna områden. För tajgafladdermusen är det särskilt värdefullt att bevara eller skapa sumpskogar och andra blöta skogar med många ihåliga träd (SLU Artdatabanken, 2024).</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