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22685-2025 i Ludvika kommun</w:t>
      </w:r>
    </w:p>
    <w:p>
      <w:r>
        <w:t>Detta dokument behandlar höga naturvärden i avverkningsanmälan A 22685-2025 i Ludvika kommun. Denna avverkningsanmälan inkom 2025-05-09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tornseglare (EN, §4), brunlångöra (NT, §4a), entita (NT, §4), nordfladdermus (NT, §4a), spillkråka (NT, §4), talltita (NT, §4), gråskimlig fladdermus (§4a), tajgafladdermus (§4a) och vattenfladdermus (§4a).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2685-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6664355, E 483227 i SWEREF 99 TM.</w:t>
      </w:r>
    </w:p>
    <w:p>
      <w:pPr>
        <w:pStyle w:val="Heading1"/>
      </w:pPr>
      <w:r>
        <w:t>Fridlysta arter</w:t>
      </w:r>
    </w:p>
    <w:p>
      <w:r>
        <w:t>Följande fridlysta arter har sina livsmiljöer och växtplatser i den avverkningsanmälda skogen: tornseglare (EN, §4), brunlångöra (NT, §4a), entita (NT, §4), nordfladdermus (NT, §4a), spillkråka (NT, §4), talltita (NT, §4), gråskimlig fladdermus (§4a), tajgafladdermus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