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37715-2026 i Ludvika kommun</w:t>
      </w:r>
    </w:p>
    <w:p>
      <w:r>
        <w:t>Detta klagomål behandlar höga naturvärden i avverkningsanmälan A 37715-2026 i Ludvika kommun som inkom 2026-09-14 och omfattar 3,2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A 37715-2026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6676832, E 485271 i SWEREF 99 TM.</w:t>
      </w:r>
    </w:p>
    <w:p>
      <w:r>
        <w:t>I och inom 22 meter från avverkningsanmälan finns fynd av 7 naturvårdsarter, varav 6 är rödlistade, 5 är typiska (T) och 1 är signalart (S): garnlav (VU, T), kolflarnlav (NT, T), kortskaftad ärgspik (NT), vedskivlav (NT, T), violettgrå tagellav (NT, T), vårtig dynlav (NT)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Vårtig dynlav (NT)</w:t>
      </w:r>
      <w:r>
        <w:t xml:space="preserve"> växer på äldre träd i boreal kontinuitetsskog. Arten påverkas negativt av brist på kontinuitetsskog och död ved. En minskning av populationen pågår eller förväntas ske. Minskningstakten uppgår till 20 (10–30) % inom 50 år och bedöms vara nära gränsvärdet för sårbar (VU)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