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49783-2024 i Ludvika kommun</w:t>
      </w:r>
    </w:p>
    <w:p>
      <w:r>
        <w:t>Detta klagomål behandlar höga naturvärden i avverkningsanmälan A 49783-2024 i Ludvika kommun som inkom 2024-11-01 och omfattar 20,9 ha.</w:t>
      </w:r>
    </w:p>
    <w:p>
      <w:pPr>
        <w:pStyle w:val="Caption"/>
      </w:pPr>
      <w:r>
        <w:drawing>
          <wp:inline xmlns:a="http://schemas.openxmlformats.org/drawingml/2006/main" xmlns:pic="http://schemas.openxmlformats.org/drawingml/2006/picture">
            <wp:extent cx="5486400" cy="5185263"/>
            <wp:docPr id="1" name="Picture 1"/>
            <wp:cNvGraphicFramePr>
              <a:graphicFrameLocks noChangeAspect="1"/>
            </wp:cNvGraphicFramePr>
            <a:graphic>
              <a:graphicData uri="http://schemas.openxmlformats.org/drawingml/2006/picture">
                <pic:pic>
                  <pic:nvPicPr>
                    <pic:cNvPr id="0" name="A 49783-2024 karta.png"/>
                    <pic:cNvPicPr/>
                  </pic:nvPicPr>
                  <pic:blipFill>
                    <a:blip r:embed="rId16"/>
                    <a:stretch>
                      <a:fillRect/>
                    </a:stretch>
                  </pic:blipFill>
                  <pic:spPr>
                    <a:xfrm>
                      <a:off x="0" y="0"/>
                      <a:ext cx="5486400" cy="518526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6691521, E 504067 i SWEREF 99 TM.</w:t>
      </w:r>
    </w:p>
    <w:p>
      <w:r>
        <w:t>I och inom 18 meter från avverkningsanmälan finns fynd av 8 naturvårdsarter, varav 6 är rödlistade, 3 är fridlysta och 7 är typiska (T): garnlav (VU, T), mörk kådsvartspik (VU), dropptaggsvamp (NT, T), gammelgransskål (NT, T), stjärntagging (NT, T), tretåig hackspett (NT, 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