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4522-2023 i Ludvika kommun</w:t>
      </w:r>
    </w:p>
    <w:p>
      <w:r>
        <w:t>Denna tillsynsbegäran behandlar höga naturvärden i samrådsanmälan S 4522-2023 i Ludvika kommun som inkom 2023-12-15 och omfattar 597,4 ha.</w:t>
      </w:r>
    </w:p>
    <w:p>
      <w:pPr>
        <w:pStyle w:val="Caption"/>
      </w:pPr>
      <w:r>
        <w:drawing>
          <wp:inline xmlns:a="http://schemas.openxmlformats.org/drawingml/2006/main" xmlns:pic="http://schemas.openxmlformats.org/drawingml/2006/picture">
            <wp:extent cx="5303037" cy="5724000"/>
            <wp:docPr id="1" name="Picture 1"/>
            <wp:cNvGraphicFramePr>
              <a:graphicFrameLocks noChangeAspect="1"/>
            </wp:cNvGraphicFramePr>
            <a:graphic>
              <a:graphicData uri="http://schemas.openxmlformats.org/drawingml/2006/picture">
                <pic:pic>
                  <pic:nvPicPr>
                    <pic:cNvPr id="0" name="S 4522-2023 karta.png"/>
                    <pic:cNvPicPr/>
                  </pic:nvPicPr>
                  <pic:blipFill>
                    <a:blip r:embed="rId16"/>
                    <a:stretch>
                      <a:fillRect/>
                    </a:stretch>
                  </pic:blipFill>
                  <pic:spPr>
                    <a:xfrm>
                      <a:off x="0" y="0"/>
                      <a:ext cx="5303037"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6677609, E 494957 i SWEREF 99 TM.</w:t>
      </w:r>
    </w:p>
    <w:p>
      <w:r>
        <w:t>I och inom 25 meter från samrådsanmälan finns fynd av 18 naturvårdsarter, varav 9 är rödlistade, 5 är fridlysta, 9 är typiska (T) och 6 är signalarter (S): bitter taggsvamp (EN), mosippa (EN, T, §8), knärot (VU, T, §8), stor odörspindling (VU), barrfagerspindling (NT), barrmusseron (NT), dofttaggsvamp (NT, T), motaggsvamp (NT, T), vaddporing (NT), gulnål (S, T), kamjordstjärna (S), strimspindling (S), strutbräken (S, T), stubbspretmossa (S, T), vedticka (S, T), blåsippa (T, §9), fläcknycklar (§8)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5684363"/>
            <wp:docPr id="2" name="Picture 2"/>
            <wp:cNvGraphicFramePr>
              <a:graphicFrameLocks noChangeAspect="1"/>
            </wp:cNvGraphicFramePr>
            <a:graphic>
              <a:graphicData uri="http://schemas.openxmlformats.org/drawingml/2006/picture">
                <pic:pic>
                  <pic:nvPicPr>
                    <pic:cNvPr id="0" name="S 4522-2023 karta knärot.png"/>
                    <pic:cNvPicPr/>
                  </pic:nvPicPr>
                  <pic:blipFill>
                    <a:blip r:embed="rId17"/>
                    <a:stretch>
                      <a:fillRect/>
                    </a:stretch>
                  </pic:blipFill>
                  <pic:spPr>
                    <a:xfrm>
                      <a:off x="0" y="0"/>
                      <a:ext cx="5486400" cy="568436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6677609, E 494957 i SWEREF 99 TM.</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mosippa (EN, T, §8), knärot (VU, T, §8), dofttaggsvamp (NT, T), motaggsvamp (NT, T), gulnål (S, T), strutbräken (S, T), stubbspretmossa (S, T),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