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50453-2025 i Ludvika kommun</w:t>
      </w:r>
    </w:p>
    <w:p>
      <w:r>
        <w:t>Detta klagomål behandlar höga naturvärden i avverkningsanmälan A 50453-2025 i Ludvika kommun som inkom 2025-10-15 och omfattar 5,6 ha.</w:t>
      </w:r>
    </w:p>
    <w:p>
      <w:pPr>
        <w:pStyle w:val="Caption"/>
      </w:pPr>
      <w:r>
        <w:drawing>
          <wp:inline xmlns:a="http://schemas.openxmlformats.org/drawingml/2006/main" xmlns:pic="http://schemas.openxmlformats.org/drawingml/2006/picture">
            <wp:extent cx="5185816" cy="5724000"/>
            <wp:docPr id="1" name="Picture 1"/>
            <wp:cNvGraphicFramePr>
              <a:graphicFrameLocks noChangeAspect="1"/>
            </wp:cNvGraphicFramePr>
            <a:graphic>
              <a:graphicData uri="http://schemas.openxmlformats.org/drawingml/2006/picture">
                <pic:pic>
                  <pic:nvPicPr>
                    <pic:cNvPr id="0" name="A 50453-2025 karta.png"/>
                    <pic:cNvPicPr/>
                  </pic:nvPicPr>
                  <pic:blipFill>
                    <a:blip r:embed="rId16"/>
                    <a:stretch>
                      <a:fillRect/>
                    </a:stretch>
                  </pic:blipFill>
                  <pic:spPr>
                    <a:xfrm>
                      <a:off x="0" y="0"/>
                      <a:ext cx="518581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6654846, E 469429 i SWEREF 99 TM.</w:t>
      </w:r>
    </w:p>
    <w:p>
      <w:r>
        <w:t>I och inom 25 meter från avverkningsanmälan finns fynd av 8 naturvårdsarter, varav 2 är rödlistade, 7 är typiska (T) och 6 är signalarter (S): aspgelélav (VU, T), gränsticka (VU, T), bårdlav (S, T), dvärgtufs (S), luddlav (S, T), skinnlav (S, T), sotlav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