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63299-2025 i Ludvika kommun</w:t>
      </w:r>
    </w:p>
    <w:p>
      <w:r>
        <w:t>Detta klagomål behandlar höga naturvärden i avverkningsanmälan A 63299-2025 i Ludvika kommun som inkom 2025-12-19 och omfattar 1,4 ha.</w:t>
      </w:r>
    </w:p>
    <w:p>
      <w:pPr>
        <w:pStyle w:val="Caption"/>
      </w:pPr>
      <w:r>
        <w:drawing>
          <wp:inline xmlns:a="http://schemas.openxmlformats.org/drawingml/2006/main" xmlns:pic="http://schemas.openxmlformats.org/drawingml/2006/picture">
            <wp:extent cx="4382499" cy="5724000"/>
            <wp:docPr id="1" name="Picture 1"/>
            <wp:cNvGraphicFramePr>
              <a:graphicFrameLocks noChangeAspect="1"/>
            </wp:cNvGraphicFramePr>
            <a:graphic>
              <a:graphicData uri="http://schemas.openxmlformats.org/drawingml/2006/picture">
                <pic:pic>
                  <pic:nvPicPr>
                    <pic:cNvPr id="0" name="A 63299-2025 karta.png"/>
                    <pic:cNvPicPr/>
                  </pic:nvPicPr>
                  <pic:blipFill>
                    <a:blip r:embed="rId16"/>
                    <a:stretch>
                      <a:fillRect/>
                    </a:stretch>
                  </pic:blipFill>
                  <pic:spPr>
                    <a:xfrm>
                      <a:off x="0" y="0"/>
                      <a:ext cx="438249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6669410, E 481858 i SWEREF 99 TM.</w:t>
      </w:r>
    </w:p>
    <w:p>
      <w:r>
        <w:t>I och inom 24 meter från avverkningsanmälan finns fynd av 6 naturvårdsarter, varav 5 är rödlistade, 1 är fridlyst och 4 är typiska (T): garnlav (VU, T), skrovlig taggsvamp (VU), blå taggsvamp (NT, T), motaggsvamp (NT, T), talltaggsvamp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