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37350-2026 i Ludvika kommun</w:t>
      </w:r>
    </w:p>
    <w:p>
      <w:r>
        <w:t>Detta klagomål behandlar höga naturvärden i avverkningsanmälan A 37350-2026 i Ludvika kommun som inkom 2026-09-10 och omfattar 2,9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37350-2026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6667502, E 490760 i SWEREF 99 TM.</w:t>
      </w:r>
    </w:p>
    <w:p>
      <w:r>
        <w:t>I och inom 8 meter från avverkningsanmälan finns fynd av 10 naturvårdsarter, varav 3 är rödlistade, 5 är fridlysta, 8 är typiska (T) och 2 är signalarter (S): gul pysslinglav (VU), talltita (NT, §4), ullticka (NT, T), gulnål (S, T), vedticka (S, T), gråspett (T, §4), järpe (T, §4), linnea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 pysslinglav (VU)</w:t>
      </w:r>
      <w:r>
        <w:t xml:space="preserve"> är känd från Småland till Åsele Lappmark. Växer vid basen av lövträd och gran i gamla skogar med hög och jämn luftfuktighet. Lokalerna har lång skoglig kontinuitet och mycket höga naturvärden. Avverkning är det största hotet. Oskyddade lokaler bör skyddas. Slutavverkning på eller omkring lokaler med arten bör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