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1912-2023 i Ludvika kommun</w:t>
      </w:r>
    </w:p>
    <w:p>
      <w:r>
        <w:t>Detta dokument behandlar höga naturvärden i avverkningsanmälan A 1912-2023 i Ludvika kommun. Denna avverkningsanmälan inkom 2023-01-11 00:00:00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gammelgransskål (NT), kådvaxskinn (NT), mindre träfjäril (NT), mjölig dropplav (NT), aspvedborre (S), barkticka (S), fjällig taggsvamp s.str. (S), kamjordstjärna (S), mörk husmossa (S),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1912-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6663504, E 509104 i SWEREF 99 TM.</w:t>
      </w:r>
    </w:p>
    <w:p>
      <w:r>
        <w:rPr>
          <w:b/>
        </w:rPr>
        <w:t>Aspvedborre</w:t>
      </w:r>
      <w:r>
        <w:rPr>
          <w:b/>
          <w:i/>
        </w:rPr>
        <w:t xml:space="preserve"> </w:t>
      </w:r>
      <w:r>
        <w:t>är anpassad att leva på döende gamla aspar med nedsatt vitalitet eller som är skadade efter stormfällningar och stambrott, ofta i halvskuggiga lägen. Arten påverkas negativt av brist på grova eller gamla träd och det föreligger indikation på eller misstanke om populationsminskning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