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1081-2022 i Ockelbo kommun</w:t>
      </w:r>
    </w:p>
    <w:p>
      <w:r>
        <w:t>Detta klagomål behandlar höga naturvärden i samrådsanmälan S 1081-2022 i Ockelbo kommun som inkom 2022-02-22 och omfattar 635,8 ha.</w:t>
      </w:r>
    </w:p>
    <w:p>
      <w:pPr>
        <w:pStyle w:val="Caption"/>
      </w:pPr>
      <w:r>
        <w:drawing>
          <wp:inline xmlns:a="http://schemas.openxmlformats.org/drawingml/2006/main" xmlns:pic="http://schemas.openxmlformats.org/drawingml/2006/picture">
            <wp:extent cx="5272821" cy="5724000"/>
            <wp:docPr id="1" name="Picture 1"/>
            <wp:cNvGraphicFramePr>
              <a:graphicFrameLocks noChangeAspect="1"/>
            </wp:cNvGraphicFramePr>
            <a:graphic>
              <a:graphicData uri="http://schemas.openxmlformats.org/drawingml/2006/picture">
                <pic:pic>
                  <pic:nvPicPr>
                    <pic:cNvPr id="0" name="S 1081-2022 karta.png"/>
                    <pic:cNvPicPr/>
                  </pic:nvPicPr>
                  <pic:blipFill>
                    <a:blip r:embed="rId16"/>
                    <a:stretch>
                      <a:fillRect/>
                    </a:stretch>
                  </pic:blipFill>
                  <pic:spPr>
                    <a:xfrm>
                      <a:off x="0" y="0"/>
                      <a:ext cx="5272821" cy="5724000"/>
                    </a:xfrm>
                    <a:prstGeom prst="rect"/>
                  </pic:spPr>
                </pic:pic>
              </a:graphicData>
            </a:graphic>
          </wp:inline>
        </w:drawing>
      </w:r>
    </w:p>
    <w:p>
      <w:pPr>
        <w:pStyle w:val="Caption"/>
        <w:spacing w:after="240"/>
      </w:pPr>
      <w:r>
        <w:t>Figur 1. Fyndplatser för naturvårdsarter i och inom 24 meter från samrådsanmälan. Markörer utan svart kant är placerade på fyndplatsen. Markörer med svart kant är placerade vid sidan av fyndplatsen och har ett svart streck som visar fyndplatsens exakta position. Kartans mittpunktskoordinat är N 6750470, E 575180 i SWEREF 99 TM.</w:t>
      </w:r>
    </w:p>
    <w:p>
      <w:r>
        <w:t>I och inom 24 meter från samrådsanmälan finns fynd av 17 naturvårdsarter, varav 7 är rödlistade, 10 är fridlysta, 11 är typiska (T) och 4 är signalarter (S): garnlav (VU, T), knärot (VU, T, §8), blanksvart spiklav (NT), höstlåsbräken (NT, §8), motaggsvamp (NT, T), månlåsbräken (NT), svartvit taggsvamp (NT), grönpyrola (S, T), korallrot (S, T, §8), plattlummer (S, T, §9), spädstarr (S, T), blåsippa (T, §9), järpe (T, §4), mattlummer (T, §9), spillkråka (T, §4), lopplummer (aggregat) (§9)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samrådsanmälda området finns 1 fyndplatser för knärot registrerade på Artportalen. Figur 2 visar gränserna för buffertzoner på 50 m, som behöver lämnas kring fyndplatserna för att knärotslokalerna inte ska försvinna vid en avverkning. Av det samrådsanmälda området överlappar 0.69 ha med buffertzonerna och får av detta skäl inte avverkas.</w:t>
      </w:r>
    </w:p>
    <w:p>
      <w:pPr>
        <w:pStyle w:val="Caption"/>
      </w:pPr>
      <w:r>
        <w:drawing>
          <wp:inline xmlns:a="http://schemas.openxmlformats.org/drawingml/2006/main" xmlns:pic="http://schemas.openxmlformats.org/drawingml/2006/picture">
            <wp:extent cx="5486400" cy="5774860"/>
            <wp:docPr id="2" name="Picture 2"/>
            <wp:cNvGraphicFramePr>
              <a:graphicFrameLocks noChangeAspect="1"/>
            </wp:cNvGraphicFramePr>
            <a:graphic>
              <a:graphicData uri="http://schemas.openxmlformats.org/drawingml/2006/picture">
                <pic:pic>
                  <pic:nvPicPr>
                    <pic:cNvPr id="0" name="S 1081-2022 karta knärot.png"/>
                    <pic:cNvPicPr/>
                  </pic:nvPicPr>
                  <pic:blipFill>
                    <a:blip r:embed="rId17"/>
                    <a:stretch>
                      <a:fillRect/>
                    </a:stretch>
                  </pic:blipFill>
                  <pic:spPr>
                    <a:xfrm>
                      <a:off x="0" y="0"/>
                      <a:ext cx="5486400" cy="5774860"/>
                    </a:xfrm>
                    <a:prstGeom prst="rect"/>
                  </pic:spPr>
                </pic:pic>
              </a:graphicData>
            </a:graphic>
          </wp:inline>
        </w:drawing>
      </w:r>
    </w:p>
    <w:p>
      <w:pPr>
        <w:pStyle w:val="Caption"/>
        <w:spacing w:after="240"/>
      </w:pPr>
      <w:r>
        <w:t>Figur 2. Fyndplatser och buffertzoner för knärot i det samrådsanmälda området. Endast fyndplatser vars buffertzoner överlappar med det samrådsanmälda området har tagits med i visualiseringen. Kartans mittpunktskoordinat är N 6750470, E 575180 i SWEREF 99 TM.</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 xml:space="preserve">Svartvit taggsvamp (NT) </w:t>
      </w:r>
      <w:r>
        <w:t>bildar mykorrhiza med tall, troligen även med gran. Den växer huvudsakligen i äldre, naturligt uppkommen skog på torr eller frisk mark och förekommer såväl på tallhedar som i mossig barrblandskog. Flera olika former har påträffats vid DNA-undersökningar av europeiskt material och det är oklart hur många former som finns i värd land. Kalavverkning av äldre skog är ett reellt hot, liksom maskinell markberedning och minskad andel självföryngring. Lokaler som fortfarande håller svampen behöver säkerställas (SLU Artdatabanken, 2024; Nitare &amp; Skogsstyrelsen, 2019).</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 xml:space="preserve">Spädstarr </w:t>
      </w:r>
      <w:r>
        <w:t xml:space="preserve">är typisk art för </w:t>
      </w:r>
      <w:r>
        <w:rPr>
          <w:i/>
        </w:rPr>
        <w:t xml:space="preserve">9080 Lövsumpskog </w:t>
      </w:r>
      <w:r>
        <w:t>(SLU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Mattlummer (§9)</w:t>
      </w:r>
      <w:r>
        <w:t xml:space="preserve"> är typisk art för </w:t>
      </w:r>
      <w:r>
        <w:rPr>
          <w:i/>
        </w:rPr>
        <w:t xml:space="preserve">9010 Taiga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17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