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3525-2025 i Ockelbo kommun</w:t>
      </w:r>
    </w:p>
    <w:p>
      <w:r>
        <w:t>Detta dokument behandlar höga naturvärden i avverkningsanmälan A 3525-2025 i Ockelbo kommun. Denna avverkningsanmälan inkom 2025-01-23 14:43:36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rovspindling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8647"/>
            <wp:docPr id="1" name="Picture 1"/>
            <wp:cNvGraphicFramePr>
              <a:graphicFrameLocks noChangeAspect="1"/>
            </wp:cNvGraphicFramePr>
            <a:graphic>
              <a:graphicData uri="http://schemas.openxmlformats.org/drawingml/2006/picture">
                <pic:pic>
                  <pic:nvPicPr>
                    <pic:cNvPr id="0" name="A 3525-2025 karta.png"/>
                    <pic:cNvPicPr/>
                  </pic:nvPicPr>
                  <pic:blipFill>
                    <a:blip r:embed="rId16"/>
                    <a:stretch>
                      <a:fillRect/>
                    </a:stretch>
                  </pic:blipFill>
                  <pic:spPr>
                    <a:xfrm>
                      <a:off x="0" y="0"/>
                      <a:ext cx="5486400" cy="571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6739682, E 590322 i SWEREF 99 TM.</w:t>
      </w:r>
    </w:p>
    <w:p>
      <w:r>
        <w:rPr>
          <w:b/>
        </w:rPr>
        <w:t>Rovspindling (NT)</w:t>
      </w:r>
      <w:r>
        <w:t xml:space="preserve"> bildar mykorrhiza med gran i äldre granskog på näringsrik mark, främst i äldre kontinuitetsskog. Den totala populationen i landet bedöms ha minskat och förväntas fortsätta minska på grund av slutavverkning av äldre barrskog och kontinuitetsskog. Kända växtplatser bör säkerställas eller bevaras genom ett modifierat skogsbruk. Uttag av skog får ej ske som kalavverkning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