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1051-2024 i Ockelbo kommun</w:t>
      </w:r>
    </w:p>
    <w:p>
      <w:r>
        <w:t>Denna tillsynsbegäran behandlar höga naturvärden i samrådsanmälan S 1051-2024 i Ockelbo kommun som inkom 2024-04-05 och omfattar 339,3 ha.</w:t>
      </w:r>
    </w:p>
    <w:p>
      <w:pPr>
        <w:pStyle w:val="Caption"/>
      </w:pPr>
      <w:r>
        <w:drawing>
          <wp:inline xmlns:a="http://schemas.openxmlformats.org/drawingml/2006/main" xmlns:pic="http://schemas.openxmlformats.org/drawingml/2006/picture">
            <wp:extent cx="5331895" cy="5724000"/>
            <wp:docPr id="1" name="Picture 1"/>
            <wp:cNvGraphicFramePr>
              <a:graphicFrameLocks noChangeAspect="1"/>
            </wp:cNvGraphicFramePr>
            <a:graphic>
              <a:graphicData uri="http://schemas.openxmlformats.org/drawingml/2006/picture">
                <pic:pic>
                  <pic:nvPicPr>
                    <pic:cNvPr id="0" name="S 1051-2024 karta.png"/>
                    <pic:cNvPicPr/>
                  </pic:nvPicPr>
                  <pic:blipFill>
                    <a:blip r:embed="rId16"/>
                    <a:stretch>
                      <a:fillRect/>
                    </a:stretch>
                  </pic:blipFill>
                  <pic:spPr>
                    <a:xfrm>
                      <a:off x="0" y="0"/>
                      <a:ext cx="5331895"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6765418, E 575452 i SWEREF 99 TM.</w:t>
      </w:r>
    </w:p>
    <w:p>
      <w:r>
        <w:t>I och inom 16 meter från samrådsanmälan finns fynd av 7 naturvårdsarter, varav 3 är rödlistade, 4 är fridlysta och 4 är typiska (T): brunfläckig pärlemorfjäril (VU), garnlav (VU, T), motaggsvamp (NT, T), blåsippa (T, §9),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