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1081-2022 i Ockelbo kommun</w:t>
      </w:r>
    </w:p>
    <w:p>
      <w:r>
        <w:t>Denna tillsynsbegäran behandlar höga naturvärden i samrådsanmälan S 1081-2022 i Ockelbo kommun som inkom 2022-02-22 och omfattar 635,8 ha.</w:t>
      </w:r>
    </w:p>
    <w:p>
      <w:pPr>
        <w:pStyle w:val="Caption"/>
      </w:pPr>
      <w:r>
        <w:drawing>
          <wp:inline xmlns:a="http://schemas.openxmlformats.org/drawingml/2006/main" xmlns:pic="http://schemas.openxmlformats.org/drawingml/2006/picture">
            <wp:extent cx="5272821" cy="5724000"/>
            <wp:docPr id="1" name="Picture 1"/>
            <wp:cNvGraphicFramePr>
              <a:graphicFrameLocks noChangeAspect="1"/>
            </wp:cNvGraphicFramePr>
            <a:graphic>
              <a:graphicData uri="http://schemas.openxmlformats.org/drawingml/2006/picture">
                <pic:pic>
                  <pic:nvPicPr>
                    <pic:cNvPr id="0" name="S 1081-2022 karta.png"/>
                    <pic:cNvPicPr/>
                  </pic:nvPicPr>
                  <pic:blipFill>
                    <a:blip r:embed="rId16"/>
                    <a:stretch>
                      <a:fillRect/>
                    </a:stretch>
                  </pic:blipFill>
                  <pic:spPr>
                    <a:xfrm>
                      <a:off x="0" y="0"/>
                      <a:ext cx="5272821"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6750470, E 575180 i SWEREF 99 TM.</w:t>
      </w:r>
    </w:p>
    <w:p>
      <w:r>
        <w:t>I och inom 24 meter från samrådsanmälan finns fynd av 17 naturvårdsarter, varav 7 är rödlistade, 10 är fridlysta, 11 är typiska (T) och 4 är signalarter (S): garnlav (VU, T), knärot (VU, T, §8), blanksvart spiklav (NT), höstlåsbräken (NT, §8), motaggsvamp (NT, T), månlåsbräken (NT), svartvit taggsvamp (NT), grönpyrola (S, T), korallrot (S, T, §8), plattlummer (S, T, §9), spädstarr (S, T), blåsippa (T, §9), järpe (T, §4), mattlummer (T, §9), spillkråka (T, §4),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774860"/>
            <wp:docPr id="2" name="Picture 2"/>
            <wp:cNvGraphicFramePr>
              <a:graphicFrameLocks noChangeAspect="1"/>
            </wp:cNvGraphicFramePr>
            <a:graphic>
              <a:graphicData uri="http://schemas.openxmlformats.org/drawingml/2006/picture">
                <pic:pic>
                  <pic:nvPicPr>
                    <pic:cNvPr id="0" name="S 1081-2022 karta knärot.png"/>
                    <pic:cNvPicPr/>
                  </pic:nvPicPr>
                  <pic:blipFill>
                    <a:blip r:embed="rId17"/>
                    <a:stretch>
                      <a:fillRect/>
                    </a:stretch>
                  </pic:blipFill>
                  <pic:spPr>
                    <a:xfrm>
                      <a:off x="0" y="0"/>
                      <a:ext cx="5486400" cy="577486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6750470, E 575180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Spädstarr </w:t>
      </w:r>
      <w:r>
        <w:t xml:space="preserve">är typisk art för </w:t>
      </w:r>
      <w:r>
        <w:rPr>
          <w:i/>
        </w:rPr>
        <w:t xml:space="preserve">9080 Lövsumpskog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motaggsvamp (NT, T), grönpyrola (S, T), korallrot (S, T, §8), plattlummer (S, T, §9), spädstarr (S, T), blåsippa (T, §9), järpe (T, §4),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