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samrådsanmälan S 890-2023 i Ockelbo kommun</w:t>
      </w:r>
    </w:p>
    <w:p>
      <w:r>
        <w:t>Denna tillsynsbegäran behandlar höga naturvärden i samrådsanmälan S 890-2023 i Ockelbo kommun som inkom 2023-03-10 och omfattar 151,0 ha.</w:t>
      </w:r>
    </w:p>
    <w:p>
      <w:pPr>
        <w:pStyle w:val="Caption"/>
      </w:pPr>
      <w:r>
        <w:drawing>
          <wp:inline xmlns:a="http://schemas.openxmlformats.org/drawingml/2006/main" xmlns:pic="http://schemas.openxmlformats.org/drawingml/2006/picture">
            <wp:extent cx="4354961" cy="5724000"/>
            <wp:docPr id="1" name="Picture 1"/>
            <wp:cNvGraphicFramePr>
              <a:graphicFrameLocks noChangeAspect="1"/>
            </wp:cNvGraphicFramePr>
            <a:graphic>
              <a:graphicData uri="http://schemas.openxmlformats.org/drawingml/2006/picture">
                <pic:pic>
                  <pic:nvPicPr>
                    <pic:cNvPr id="0" name="S 890-2023 karta.png"/>
                    <pic:cNvPicPr/>
                  </pic:nvPicPr>
                  <pic:blipFill>
                    <a:blip r:embed="rId16"/>
                    <a:stretch>
                      <a:fillRect/>
                    </a:stretch>
                  </pic:blipFill>
                  <pic:spPr>
                    <a:xfrm>
                      <a:off x="0" y="0"/>
                      <a:ext cx="4354961" cy="5724000"/>
                    </a:xfrm>
                    <a:prstGeom prst="rect"/>
                  </pic:spPr>
                </pic:pic>
              </a:graphicData>
            </a:graphic>
          </wp:inline>
        </w:drawing>
      </w:r>
    </w:p>
    <w:p>
      <w:pPr>
        <w:pStyle w:val="Caption"/>
        <w:spacing w:after="240"/>
      </w:pPr>
      <w:r>
        <w:t>Figur 1. Fyndplatser för naturvårdsarter i och inom 19 meter från samrådsanmälan. Markörer utan svart kant är placerade på fyndplatsen. Markörer med svart kant är placerade vid sidan av fyndplatsen och har ett svart streck som visar fyndplatsens exakta position. Kartans mittpunktskoordinat är N 6763645, E 597408 i SWEREF 99 TM.</w:t>
      </w:r>
    </w:p>
    <w:p>
      <w:r>
        <w:t>I och inom 19 meter från samrådsanmälan finns fynd av 5 naturvårdsarter, varav 4 är rödlistade, 3 är typiska (T) och 1 är signalart (S): garnlav (VU, T), dropptaggsvamp (NT, T), motaggsvamp (NT, T), skarp dropptaggsvamp (NT) och smal svampklubba (S).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 xml:space="preserve">Skarp dropptaggsvamp (NT) </w:t>
      </w:r>
      <w:r>
        <w:t>bildar mykorrhiza med både gran och tall, främst i barrskogar med trädkontinuitet. Arten uppträder dels i näringsrik kalkbarrskog och dels i sur lavtallskog. Kalkbarrskogarna är ofta grandominerade, olikåldriga och skiktade på frisk mark med ett örtrikt vegetationsskikt. Lavtallskogarna är i regel magra, torra, ljusöppna och ofta brandpräglade. Den totala populationen i landet har minskat och bedöms fortsätta minska till följd av avverkning av äldre barrskogar. Arten har begränsad förmåga att återetablera sig efter slutavverkning eller andra storskaliga skogsbruksåtgärder. Det saknas indikationer på att arten långsiktigt kan etablera eller reproducera sig i skogsbestånd som brukas med metoder som trakthyggesbruk, markberedning, gödsling eller föryngring med förädlat plantmaterial. Minskningstakten för den svenska populationen bedöms vara nära gränsvärdet för Sårbar (VU) (SLU Artdatabanken, 2026).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