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klagomål behandlar höga naturvärden i avverkningsanmälan A 21958-2025 i Hofors kommun som inkom 2025-05-07 och omfattar 2,8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6711892, E 577188 i SWEREF 99 TM.</w:t>
      </w:r>
    </w:p>
    <w:p>
      <w:r>
        <w:t>I och inom 22 meter från avverkningsanmälan finns fynd av 22 naturvårdsarter, varav 6 är rödlistade, 3 är fridlysta, 11 är typiska (T) och 14 är signalarter (S): ask (EN), skogsalm (EN), knärot (VU, T, §8), skarp dropptaggsvamp (NT), ullticka (NT, T), vedtrappmossa (NT, T), anisspindling (S), blodvaxing (S), bronshjon (S, T), bågpraktmossa (S, T), källpraktmossa (S, T), mörk husmossa (S, T), olivspindling (S), rödgul trumpetsvamp (S), skogshakmossa (S, T), smal svampklubba (S), svavelriska (S), thomsons trägnagare (S), tibast (S, T), vedticka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