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11868-2026 i Hofors kommun</w:t>
      </w:r>
    </w:p>
    <w:p>
      <w:r>
        <w:t>Denna tillsynsbegäran behandlar höga naturvärden i avverkningsanmälan A 11868-2026 i Hofors kommun som inkom 2026-03-04 och omfattar 1,1 ha.</w:t>
      </w:r>
    </w:p>
    <w:p>
      <w:pPr>
        <w:pStyle w:val="Caption"/>
      </w:pPr>
      <w:r>
        <w:drawing>
          <wp:inline xmlns:a="http://schemas.openxmlformats.org/drawingml/2006/main" xmlns:pic="http://schemas.openxmlformats.org/drawingml/2006/picture">
            <wp:extent cx="5486400" cy="4454638"/>
            <wp:docPr id="1" name="Picture 1"/>
            <wp:cNvGraphicFramePr>
              <a:graphicFrameLocks noChangeAspect="1"/>
            </wp:cNvGraphicFramePr>
            <a:graphic>
              <a:graphicData uri="http://schemas.openxmlformats.org/drawingml/2006/picture">
                <pic:pic>
                  <pic:nvPicPr>
                    <pic:cNvPr id="0" name="A 11868-2026 karta.png"/>
                    <pic:cNvPicPr/>
                  </pic:nvPicPr>
                  <pic:blipFill>
                    <a:blip r:embed="rId16"/>
                    <a:stretch>
                      <a:fillRect/>
                    </a:stretch>
                  </pic:blipFill>
                  <pic:spPr>
                    <a:xfrm>
                      <a:off x="0" y="0"/>
                      <a:ext cx="5486400" cy="4454638"/>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6711063, E 577085 i SWEREF 99 TM.</w:t>
      </w:r>
    </w:p>
    <w:p>
      <w:r>
        <w:t>I och inom 23 meter från avverkningsanmälan finns fynd av 8 naturvårdsarter, varav 5 är rödlistade, 2 är typiska (T) och 3 är signalarter (S): koppartaggsvamp (EN), dropptaggsvamp (NT, T), fjällig taggsvamp s.str. (NT), flattoppad klubbsvamp (NT), gultoppig fingersvamp (NT), svavelriska (S), trådticka (S, T) och zontaggsvamp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Koppartaggsvamp (EN) </w:t>
      </w:r>
      <w:r>
        <w:t>är en starkt hotad svamp som bildar mykorrhiza med gran i örtrik äldre granskog på kalkrik mark. Arten är en mycket bra indikator på skyddsvärda kalkgranskogar och påfallande ofta växer den tillsammans med raggtaggsvamp (EN). Koppartaggsvamp ingår i ett åtgärdsprogram för hotade arter (ÅGP) och dess långsiktiga överlevnad säkras genom att växtplatserna undantas från avverkning. Den totala populationen i landet har minskat kraftigt och minskningstakten, som uppgår till 50 (30–70) % inom 50 år, överstiger gränsvärdet för starkt hotad (EN) (SLU Artdatabanken, 2026; Nitare &amp; Skogsstyrelsen, 2019; Nitare, 2006).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