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35941-2026 i Hofors kommun</w:t>
      </w:r>
    </w:p>
    <w:p>
      <w:r>
        <w:t>Denna tillsynsbegäran behandlar höga naturvärden i avverkningsanmälan A 35941-2026 i Hofors kommun som inkom 2026-09-01 och omfattar 8,7 ha.</w:t>
      </w:r>
    </w:p>
    <w:p>
      <w:pPr>
        <w:pStyle w:val="Caption"/>
      </w:pPr>
      <w:r>
        <w:drawing>
          <wp:inline xmlns:a="http://schemas.openxmlformats.org/drawingml/2006/main" xmlns:pic="http://schemas.openxmlformats.org/drawingml/2006/picture">
            <wp:extent cx="5208518" cy="5724000"/>
            <wp:docPr id="1" name="Picture 1"/>
            <wp:cNvGraphicFramePr>
              <a:graphicFrameLocks noChangeAspect="1"/>
            </wp:cNvGraphicFramePr>
            <a:graphic>
              <a:graphicData uri="http://schemas.openxmlformats.org/drawingml/2006/picture">
                <pic:pic>
                  <pic:nvPicPr>
                    <pic:cNvPr id="0" name="A 35941-2026 karta.png"/>
                    <pic:cNvPicPr/>
                  </pic:nvPicPr>
                  <pic:blipFill>
                    <a:blip r:embed="rId16"/>
                    <a:stretch>
                      <a:fillRect/>
                    </a:stretch>
                  </pic:blipFill>
                  <pic:spPr>
                    <a:xfrm>
                      <a:off x="0" y="0"/>
                      <a:ext cx="5208518"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6695189, E 584102 i SWEREF 99 TM.</w:t>
      </w:r>
    </w:p>
    <w:p>
      <w:r>
        <w:t>I och inom 23 meter från avverkningsanmälan finns fynd av 8 naturvårdsarter, varav 4 är rödlistade, 4 är fridlysta, 5 är typiska (T) och 1 är signalart (S): gränsticka (VU, T), knärot (VU, T, §8), väddnätfjäril (VU, §6), ullticka (NT, T), vedticka (S, T), kransmossa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1.40 ha med buffertzonerna och får av detta skäl inte avverkas.</w:t>
      </w:r>
    </w:p>
    <w:p>
      <w:pPr>
        <w:pStyle w:val="Caption"/>
      </w:pPr>
      <w:r>
        <w:drawing>
          <wp:inline xmlns:a="http://schemas.openxmlformats.org/drawingml/2006/main" xmlns:pic="http://schemas.openxmlformats.org/drawingml/2006/picture">
            <wp:extent cx="5486400" cy="5791828"/>
            <wp:docPr id="2" name="Picture 2"/>
            <wp:cNvGraphicFramePr>
              <a:graphicFrameLocks noChangeAspect="1"/>
            </wp:cNvGraphicFramePr>
            <a:graphic>
              <a:graphicData uri="http://schemas.openxmlformats.org/drawingml/2006/picture">
                <pic:pic>
                  <pic:nvPicPr>
                    <pic:cNvPr id="0" name="A 35941-2026 karta knärot.png"/>
                    <pic:cNvPicPr/>
                  </pic:nvPicPr>
                  <pic:blipFill>
                    <a:blip r:embed="rId17"/>
                    <a:stretch>
                      <a:fillRect/>
                    </a:stretch>
                  </pic:blipFill>
                  <pic:spPr>
                    <a:xfrm>
                      <a:off x="0" y="0"/>
                      <a:ext cx="5486400" cy="57918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6695189, E 584102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knärot (VU, T, §8), ullticka (NT, T), vedticka (S, T) och kransmossa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