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14918-2023 i Hofors kommun</w:t>
      </w:r>
    </w:p>
    <w:p>
      <w:r>
        <w:t>Detta dokument behandlar höga naturvärden i avverkningsanmälan A 14918-2023 i Hofors kommun. Denna avverkningsanmälan inkom 2023-03-30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43 naturvårdsarter hittats: knärot (VU, §8), kopparspindling (VU), lakritsmusseron (VU), läderdoftande fingersvamp (VU), dofttaggsvamp (NT), flattoppad klubbsvamp (NT), gultoppig fingersvamp (NT), nordfladdermus (NT, §4a), odörspindling (NT), orange taggsvamp (NT), persiljespindling (NT), stiftgelélav (NT), svartvit taggsvamp (NT), talltita (NT, §4), tretåig hackspett (NT, §4), ullticka (NT), vedtrappmossa (NT), äggvaxskivling (NT), anisspindling (S), bronshjon (S), dunmossa (S), fjällig taggsvamp s.str. (S), korallblylav (S), mörk husmossa (S), olivspindling (S), rödgul trumpetsvamp (S), skarp dropptaggsvamp (S), skinnlav (S), skogshakmossa (S), sotriska (S), spindelblomster (S, §8), svart trolldruva (S), svavelriska (S), thomsons trägnagare (S), tibast (S), tvåblad (S, §8), underviol (S), vedticka (S), vågbandad barkbock (S), vårärt (S), zontaggsvamp (S), fläcknycklar (§8) och blåsippa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1491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6703414, E 574342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Dunmossa</w:t>
      </w:r>
      <w:r>
        <w:t xml:space="preserve"> är en mycket bra signalart på källpåverkad skogsmark med höga naturvärden och är placerad högst upp i Skogsstyrelsens värdepyramid för bedömning av skog med höga naturvärden. Den växer i skuggiga kärr, särskilt källkärr och bäckstränder påverkade av ytligt grundvatten och tål inte uttorkning. Miljön är ofta något näringsrik och den återfinns särskilt i klibbalkärr, men även i örtrika barr- och blandsumpskogar påverkade av rörligt markvatten. Avverkning på lokalerna och reglering av vattenföring i små vattendrag i sydsvenska skogsområden kan riskera att snabbt minska antalet lokaler för arten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Kopparspindling (VU) </w:t>
      </w:r>
      <w:r>
        <w:t>bildar mykorrhiza med tall och gran i äldre ängsgranskog på kalkrik mark, mer sällan i ren kalktallskog.</w:t>
      </w:r>
      <w:r>
        <w:rPr>
          <w:b/>
        </w:rPr>
        <w:t xml:space="preserve"> </w:t>
      </w:r>
      <w:r>
        <w:t>Minskningstakten uppgår till 30 % inom 50 år och överstiger gränsvärdet för Sårbar (VU) enligt A-kriteriet. (A2c+3c+4c).</w:t>
      </w:r>
      <w:r>
        <w:rPr>
          <w:b/>
        </w:rPr>
        <w:t xml:space="preserve"> </w:t>
      </w:r>
      <w:r>
        <w:t>Intensivt skogsbruk, särskilt kalavverkning och markberedning missgynnar arten och lokaler som även hyser ett stort antal andra hotade arter bör helt undantas från skogsbruk.</w:t>
      </w:r>
      <w:r>
        <w:rPr>
          <w:b/>
        </w:rPr>
        <w:t xml:space="preserve"> </w:t>
      </w:r>
      <w:r>
        <w:t>Kopparspindling är globalt rödlistad som nära hotad (NT) vilket innebär att Sverige har ett internationellt ansvar för arten (SLU Artdatabanken, 2024; IUCN, 2015).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nordfladdermus (NT, §4a), talltita (NT, §4), tretåig hackspett (NT, §4), spindelblomster (S, §8), tvåblad (S, §8), fläcknycklar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1.50 ha med buffertzonerna och får av detta skäl inte avverkas.</w:t>
      </w:r>
    </w:p>
    <w:p>
      <w:pPr>
        <w:pStyle w:val="Caption"/>
      </w:pPr>
      <w:r>
        <w:drawing>
          <wp:inline xmlns:a="http://schemas.openxmlformats.org/drawingml/2006/main" xmlns:pic="http://schemas.openxmlformats.org/drawingml/2006/picture">
            <wp:extent cx="5486400" cy="5488114"/>
            <wp:docPr id="2" name="Picture 2"/>
            <wp:cNvGraphicFramePr>
              <a:graphicFrameLocks noChangeAspect="1"/>
            </wp:cNvGraphicFramePr>
            <a:graphic>
              <a:graphicData uri="http://schemas.openxmlformats.org/drawingml/2006/picture">
                <pic:pic>
                  <pic:nvPicPr>
                    <pic:cNvPr id="0" name="A 14918-2023 karta knärot.png"/>
                    <pic:cNvPicPr/>
                  </pic:nvPicPr>
                  <pic:blipFill>
                    <a:blip r:embed="rId17"/>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6703414, E 574342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