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41327-2023 i Hofors kommun</w:t>
      </w:r>
    </w:p>
    <w:p>
      <w:r>
        <w:t>Detta dokument behandlar höga naturvärden i avverkningsanmälan A 41327-2023 i Hofors kommun. Denna avverkningsanmälan inkom 2023-09-05 och omfattar 2,9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skogsfru (NT, §8), mörk husmossa (S), skinnlav (S) och svart trolldruva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04518"/>
            <wp:docPr id="1" name="Picture 1"/>
            <wp:cNvGraphicFramePr>
              <a:graphicFrameLocks noChangeAspect="1"/>
            </wp:cNvGraphicFramePr>
            <a:graphic>
              <a:graphicData uri="http://schemas.openxmlformats.org/drawingml/2006/picture">
                <pic:pic>
                  <pic:nvPicPr>
                    <pic:cNvPr id="0" name="A 41327-2023 karta.png"/>
                    <pic:cNvPicPr/>
                  </pic:nvPicPr>
                  <pic:blipFill>
                    <a:blip r:embed="rId16"/>
                    <a:stretch>
                      <a:fillRect/>
                    </a:stretch>
                  </pic:blipFill>
                  <pic:spPr>
                    <a:xfrm>
                      <a:off x="0" y="0"/>
                      <a:ext cx="5486400" cy="47045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6719572, E 562746 i SWEREF 99 TM.</w:t>
      </w:r>
    </w:p>
    <w:p>
      <w:r>
        <w:rPr>
          <w:b/>
        </w:rPr>
        <w:t xml:space="preserve">Mörk husmossa </w:t>
      </w:r>
      <w:r>
        <w:t>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(SLU Artdatabanken, 2024; Nitare &amp; Skogsstyrelsen, 2019).</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pPr>
        <w:pStyle w:val="Heading1"/>
      </w:pPr>
      <w:r>
        <w:t>Fridlysta arter</w:t>
      </w:r>
    </w:p>
    <w:p>
      <w:r>
        <w:t>Följande fridlysta arter har sina livsmiljöer och växtplatser i den avverkningsanmälda skogen: skogsfru (NT, §8).</w:t>
      </w:r>
    </w:p>
    <w:p>
      <w:r>
        <w:rPr>
          <w:b/>
        </w:rPr>
        <w:t>Skogsfru (NT, §8)</w:t>
      </w:r>
      <w:r>
        <w:t xml:space="preserve"> växer i fuktig, skuggig skog med rörligt markvatten och god förnaproduktion. Den är placerad högst upp i Skogsstyrelsens värdepyramid för bedömning av skog med höga naturvärden och fridlyst enligt 8 § artskyddsförordningen. Slutavverkning utan hänsyn, markberedning och skyddsdikning utgör de allvarligaste hoten mot arten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