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38730-2023 i Hofors kommun</w:t>
      </w:r>
    </w:p>
    <w:p>
      <w:r>
        <w:t>Detta dokument behandlar höga naturvärden i avverkningsanmälan A 38730-2023 i Hofors kommun. Denna avverkningsanmälan inkom 2023-08-25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knärot (VU, §8), skuggnål (VU), blå taggsvamp (NT), dvärgbägarlav (NT), grantaggsvamp (NT), gropticka (NT), gul taggsvamp (NT), kortskaftad ärgspik (NT), motaggsvamp (NT), orange taggsvamp (NT), stjärntagging (NT), svart taggsvamp (NT), talltita (NT, §4), vedskivlav (NT), vedtrappmossa (NT), dropptaggsvamp (S), fjällig taggsvamp s.str. (S), grönpyrola (S), kattfotslav (S), skarp dropptaggsvamp (S), tallfingersvamp (S), vedticka (S), blåsippa (§9)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38730-2023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6712056, E 578580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pPr>
        <w:pStyle w:val="Heading1"/>
      </w:pPr>
      <w:r>
        <w:t>Fridlysta arter</w:t>
      </w:r>
    </w:p>
    <w:p>
      <w:r>
        <w:t>Följande fridlysta arter har sina livsmiljöer och växtplatser i den avverkningsanmälda skogen: knärot (VU, §8), talltita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64 fyndplatser för knärot registrerade på Artportalen. Figur 2 visar gränserna för buffertzoner på 50 m, som behöver lämnas kring fyndplatserna för att knärotslokalerna inte ska försvinna vid en avverkning. Av det avverkningsanmälda området överlappar 9.70 ha med buffertzonerna och får av detta skäl inte avverkas.</w:t>
      </w:r>
    </w:p>
    <w:p>
      <w:pPr>
        <w:pStyle w:val="Caption"/>
      </w:pPr>
      <w:r>
        <w:drawing>
          <wp:inline xmlns:a="http://schemas.openxmlformats.org/drawingml/2006/main" xmlns:pic="http://schemas.openxmlformats.org/drawingml/2006/picture">
            <wp:extent cx="5486400" cy="5302526"/>
            <wp:docPr id="2" name="Picture 2"/>
            <wp:cNvGraphicFramePr>
              <a:graphicFrameLocks noChangeAspect="1"/>
            </wp:cNvGraphicFramePr>
            <a:graphic>
              <a:graphicData uri="http://schemas.openxmlformats.org/drawingml/2006/picture">
                <pic:pic>
                  <pic:nvPicPr>
                    <pic:cNvPr id="0" name="A 38730-2023 karta knärot.png"/>
                    <pic:cNvPicPr/>
                  </pic:nvPicPr>
                  <pic:blipFill>
                    <a:blip r:embed="rId17"/>
                    <a:stretch>
                      <a:fillRect/>
                    </a:stretch>
                  </pic:blipFill>
                  <pic:spPr>
                    <a:xfrm>
                      <a:off x="0" y="0"/>
                      <a:ext cx="5486400" cy="53025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6712056, E 578580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