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48609-2025 i Hofors kommun</w:t>
      </w:r>
    </w:p>
    <w:p>
      <w:r>
        <w:t>Detta klagomål behandlar höga naturvärden i avverkningsanmälan A 48609-2025 i Hofors kommun som inkom 2025-10-05 och omfattar 5,1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48609-2025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6701291, E 591355 i SWEREF 99 TM.</w:t>
      </w:r>
    </w:p>
    <w:p>
      <w:r>
        <w:t>Inom 24 meter från avverkningsanmälan finns fynd av 2 naturvårdsarter, varav 2 är rödlistade: fagervaxing (NT) och scharlakansvaxing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Fagervaxing (NT) </w:t>
      </w:r>
      <w:r>
        <w:t>växer i välhävdad, ogödslad betes- eller slåttermark. Sällsynt även i ädellövskog på extremt kalkrik mark. Total population i landet bedöms ha minskat kraftigt och fortgående minska, huvudsakligen p.g.a. upphörande hävd med åtföljande vegetationsförändringar samt ändrad djurhållning med tyngre köttdjur och stödutfordring som leder till förhöjda näringsnivåer i marken. Fagervaxing ingår i ett åtgärdsprogram för hotade arter (ÅGP) och är globalt rödlistad som sårbar (VU) vilket innebär att Sverige har ett internationellt ansvar för arten (SLU Artdatabanken, 2024; IUCN, 2024; Jordal, 2011).</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