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35741-2025 i Hofors kommun</w:t>
      </w:r>
    </w:p>
    <w:p>
      <w:r>
        <w:t>Detta klagomål behandlar höga naturvärden i avverkningsanmälan A 35741-2025 i Hofors kommun som inkom 2025-07-22 och omfattar 3,9 ha.</w:t>
      </w:r>
    </w:p>
    <w:p>
      <w:pPr>
        <w:pStyle w:val="Caption"/>
      </w:pPr>
      <w:r>
        <w:drawing>
          <wp:inline xmlns:a="http://schemas.openxmlformats.org/drawingml/2006/main" xmlns:pic="http://schemas.openxmlformats.org/drawingml/2006/picture">
            <wp:extent cx="5486400" cy="4551261"/>
            <wp:docPr id="1" name="Picture 1"/>
            <wp:cNvGraphicFramePr>
              <a:graphicFrameLocks noChangeAspect="1"/>
            </wp:cNvGraphicFramePr>
            <a:graphic>
              <a:graphicData uri="http://schemas.openxmlformats.org/drawingml/2006/picture">
                <pic:pic>
                  <pic:nvPicPr>
                    <pic:cNvPr id="0" name="A 35741-2025 karta.png"/>
                    <pic:cNvPicPr/>
                  </pic:nvPicPr>
                  <pic:blipFill>
                    <a:blip r:embed="rId16"/>
                    <a:stretch>
                      <a:fillRect/>
                    </a:stretch>
                  </pic:blipFill>
                  <pic:spPr>
                    <a:xfrm>
                      <a:off x="0" y="0"/>
                      <a:ext cx="5486400" cy="4551261"/>
                    </a:xfrm>
                    <a:prstGeom prst="rect"/>
                  </pic:spPr>
                </pic:pic>
              </a:graphicData>
            </a:graphic>
          </wp:inline>
        </w:drawing>
      </w:r>
    </w:p>
    <w:p>
      <w:pPr>
        <w:pStyle w:val="Caption"/>
        <w:spacing w:after="240"/>
      </w:pPr>
      <w:r>
        <w:t>Figur 1. Fyndplatser för naturvårdsarter i och inom 18 meter från avverkningsanmälan. Markörer utan svart kant är placerade på fyndplatsen. Markörer med svart kant är placerade vid sidan av fyndplatsen och har ett svart streck som visar fyndplatsens exakta position. Kartans mittpunktskoordinat är N 6719289, E 566957 i SWEREF 99 TM.</w:t>
      </w:r>
    </w:p>
    <w:p>
      <w:r>
        <w:t>I och inom 18 meter från avverkningsanmälan finns fynd av 3 naturvårdsarter, varav 2 är rödlistade, 2 är fridlysta och 2 är typiska (T): knärot (VU, T, §8), vedskivlav (NT, T) och revlummer (§9).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Ytterligare en studie visar på den starka korrelationen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1 fyndplatser för knärot registrerade på Artportalen. Figur 2 visar gränserna för buffertzoner på 50 m, som behöver lämnas kring fyndplatserna för att knärotslokalerna inte ska försvinna vid en avverkning. Av det avverkningsanmälda området överlappar 0.54 ha med buffertzonerna och får av detta skäl inte avverkas.</w:t>
      </w:r>
    </w:p>
    <w:p>
      <w:pPr>
        <w:pStyle w:val="Caption"/>
      </w:pPr>
      <w:r>
        <w:drawing>
          <wp:inline xmlns:a="http://schemas.openxmlformats.org/drawingml/2006/main" xmlns:pic="http://schemas.openxmlformats.org/drawingml/2006/picture">
            <wp:extent cx="5486400" cy="4434369"/>
            <wp:docPr id="2" name="Picture 2"/>
            <wp:cNvGraphicFramePr>
              <a:graphicFrameLocks noChangeAspect="1"/>
            </wp:cNvGraphicFramePr>
            <a:graphic>
              <a:graphicData uri="http://schemas.openxmlformats.org/drawingml/2006/picture">
                <pic:pic>
                  <pic:nvPicPr>
                    <pic:cNvPr id="0" name="A 35741-2025 karta knärot.png"/>
                    <pic:cNvPicPr/>
                  </pic:nvPicPr>
                  <pic:blipFill>
                    <a:blip r:embed="rId17"/>
                    <a:stretch>
                      <a:fillRect/>
                    </a:stretch>
                  </pic:blipFill>
                  <pic:spPr>
                    <a:xfrm>
                      <a:off x="0" y="0"/>
                      <a:ext cx="5486400" cy="4434369"/>
                    </a:xfrm>
                    <a:prstGeom prst="rect"/>
                  </pic:spPr>
                </pic:pic>
              </a:graphicData>
            </a:graphic>
          </wp:inline>
        </w:drawing>
      </w:r>
    </w:p>
    <w:p>
      <w:pPr>
        <w:pStyle w:val="Caption"/>
        <w:spacing w:after="240"/>
      </w:pPr>
      <w:r>
        <w:t>Figur 2. Fyndplatser och buffertzoner för knärot i det avverkningsanmälda området. Endast fyndplatser vars buffertzoner överlappar med det avverkningsanmälda området har tagits med i visualiseringen. Kartans mittpunktskoordinat är N 6719289, E 566957 i SWEREF 99 TM.</w:t>
      </w:r>
    </w:p>
    <w:p>
      <w:r>
        <w:rPr>
          <w:b/>
        </w:rPr>
        <w:t>Vedskivlav (NT)</w:t>
      </w:r>
      <w:r>
        <w:t xml:space="preserve"> växer på gammal, torr, exponerad, hård kärnved av framförallt tall i naturskogsartade bestånd. Avverkning av tallskog av naturskogskaraktär med spår av återkommande bränder är ett hot. Mängden lämplig ved att växa på för vedskivlav minskar, dels på grund av naturlig nedbrytning men framförallt på grund av att de förstörs i samband med slutavverkningar, gallringar och markberedning. Tall- och blandbarrskogar av naturskogskaraktär med spår av återkommande bränder bör skyddas. Vedskivlav är typisk art för </w:t>
      </w:r>
      <w:r>
        <w:rPr>
          <w:i/>
        </w:rPr>
        <w:t>9010 Taiga</w:t>
      </w:r>
      <w:r>
        <w:t xml:space="preserve"> (SLU Artdatabanken, 2024).</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 Detta stöds även av en studie (Johansson et al, 2026) baserad på data från Riksskogstaxeringen som visar att knäroten minskat med 66 % under perioden 1993–2022 samt att det finns en stark korrelation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Ytterligare en studie (Koelmeijer m.fl., 2022) inkluderar knärotens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Johansson, V., Jansson, M. och Bergman, K-O</w:t>
      </w:r>
      <w:r>
        <w:rPr>
          <w:i/>
        </w:rPr>
        <w:t>.</w:t>
      </w:r>
      <w:r>
        <w:t>, 2026.</w:t>
      </w:r>
      <w:r>
        <w:rPr>
          <w:i/>
        </w:rPr>
        <w:t xml:space="preserve"> A 30-year population decline of a threatened forest orchid associated with old growth forests</w:t>
      </w:r>
      <w:r>
        <w:t>. Department of Physics, Chemistry and Biology (IFM), Linköping University.</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2026-10-17</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