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37176-2022 i Hofors kommun</w:t>
      </w:r>
    </w:p>
    <w:p>
      <w:r>
        <w:t>Detta dokument behandlar höga naturvärden i avverkningsanmälan A 37176-2022 i Hofors kommun. Denna avverkningsanmälan inkom 2022-09-02 00:00:00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33 naturvårdsarter hittats: knärot (VU, §8), åsstarr (VU), dvärgbägarlav (NT), fyrflikig jordstjärna (NT), garnlav (NT), kortskaftad ärgspik (NT), motaggsvamp (NT), skogstrappmossa (NT), slåtterfibbla (NT), tretåig hackspett (NT, §4), ullticka (NT), vedskivlav (NT), vedtrappmossa (NT), vippärt (NT), blek stjärnmossa (S), blåsfliksmossa (S), bronshjon (S), bårdlav (S), dropptaggsvamp (S), fällmossa (S), grov fjädermossa (S), guldlockmossa (S), klippfrullania (S), kryddspindling (S), olivspindling (S), platt fjädermossa (S), rödgul trumpetsvamp (S), svavelriska (S), sårläka (S), vedticka (S), vågbandad barkbock (S), brudsporre (§8) och blåsippa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3394"/>
            <wp:docPr id="1" name="Picture 1"/>
            <wp:cNvGraphicFramePr>
              <a:graphicFrameLocks noChangeAspect="1"/>
            </wp:cNvGraphicFramePr>
            <a:graphic>
              <a:graphicData uri="http://schemas.openxmlformats.org/drawingml/2006/picture">
                <pic:pic>
                  <pic:nvPicPr>
                    <pic:cNvPr id="0" name="A 37176-2022 karta.png"/>
                    <pic:cNvPicPr/>
                  </pic:nvPicPr>
                  <pic:blipFill>
                    <a:blip r:embed="rId16"/>
                    <a:stretch>
                      <a:fillRect/>
                    </a:stretch>
                  </pic:blipFill>
                  <pic:spPr>
                    <a:xfrm>
                      <a:off x="0" y="0"/>
                      <a:ext cx="5486400" cy="3873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6706655, E 577574 i SWEREF 99 TM.</w:t>
      </w:r>
    </w:p>
    <w:p>
      <w:r>
        <w:rPr>
          <w:b/>
        </w:rPr>
        <w:t xml:space="preserve">Blåsfliksmossa </w:t>
      </w:r>
      <w:r>
        <w:t>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Grov fjädermossa </w:t>
      </w:r>
      <w:r>
        <w:t>påträffas i gammal ädellövskog och på kalkrika bergväggar i äldre barrskog. Arten är placerad högst upp i Skogsstyrelsens värdepyramid för bedömning av skog med höga naturvärden och visar på lokaler som haft lång trädkontinuitet och stabilt mikroklimat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p>
      <w:pPr>
        <w:pStyle w:val="Heading1"/>
      </w:pPr>
      <w:r>
        <w:t>Fridlysta arter</w:t>
      </w:r>
    </w:p>
    <w:p>
      <w:r>
        <w:t>Följande fridlysta arter har sina livsmiljöer och växtplatser i den avverkningsanmälda skogen: knärot (VU, §8), tretåig hackspett (NT, §4), brudsporre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4.78 ha med buffertzonerna och får av detta skäl inte avverkas.</w:t>
      </w:r>
    </w:p>
    <w:p>
      <w:pPr>
        <w:pStyle w:val="Caption"/>
      </w:pPr>
      <w:r>
        <w:drawing>
          <wp:inline xmlns:a="http://schemas.openxmlformats.org/drawingml/2006/main" xmlns:pic="http://schemas.openxmlformats.org/drawingml/2006/picture">
            <wp:extent cx="5486400" cy="4588964"/>
            <wp:docPr id="2" name="Picture 2"/>
            <wp:cNvGraphicFramePr>
              <a:graphicFrameLocks noChangeAspect="1"/>
            </wp:cNvGraphicFramePr>
            <a:graphic>
              <a:graphicData uri="http://schemas.openxmlformats.org/drawingml/2006/picture">
                <pic:pic>
                  <pic:nvPicPr>
                    <pic:cNvPr id="0" name="A 37176-2022 karta knärot.png"/>
                    <pic:cNvPicPr/>
                  </pic:nvPicPr>
                  <pic:blipFill>
                    <a:blip r:embed="rId17"/>
                    <a:stretch>
                      <a:fillRect/>
                    </a:stretch>
                  </pic:blipFill>
                  <pic:spPr>
                    <a:xfrm>
                      <a:off x="0" y="0"/>
                      <a:ext cx="5486400" cy="45889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6706655, E 577574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