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37011-2025 i Hofors kommun</w:t>
      </w:r>
    </w:p>
    <w:p>
      <w:r>
        <w:t>Detta klagomål behandlar höga naturvärden i avverkningsanmälan A 37011-2025 i Hofors kommun som inkom 2025-08-05 och omfattar 3,0 ha.</w:t>
      </w:r>
    </w:p>
    <w:p>
      <w:pPr>
        <w:pStyle w:val="Caption"/>
      </w:pPr>
      <w:r>
        <w:drawing>
          <wp:inline xmlns:a="http://schemas.openxmlformats.org/drawingml/2006/main" xmlns:pic="http://schemas.openxmlformats.org/drawingml/2006/picture">
            <wp:extent cx="5486400" cy="4078035"/>
            <wp:docPr id="1" name="Picture 1"/>
            <wp:cNvGraphicFramePr>
              <a:graphicFrameLocks noChangeAspect="1"/>
            </wp:cNvGraphicFramePr>
            <a:graphic>
              <a:graphicData uri="http://schemas.openxmlformats.org/drawingml/2006/picture">
                <pic:pic>
                  <pic:nvPicPr>
                    <pic:cNvPr id="0" name="A 37011-2025 karta.png"/>
                    <pic:cNvPicPr/>
                  </pic:nvPicPr>
                  <pic:blipFill>
                    <a:blip r:embed="rId16"/>
                    <a:stretch>
                      <a:fillRect/>
                    </a:stretch>
                  </pic:blipFill>
                  <pic:spPr>
                    <a:xfrm>
                      <a:off x="0" y="0"/>
                      <a:ext cx="5486400" cy="4078035"/>
                    </a:xfrm>
                    <a:prstGeom prst="rect"/>
                  </pic:spPr>
                </pic:pic>
              </a:graphicData>
            </a:graphic>
          </wp:inline>
        </w:drawing>
      </w:r>
    </w:p>
    <w:p>
      <w:pPr>
        <w:pStyle w:val="Caption"/>
        <w:spacing w:after="240"/>
      </w:pPr>
      <w:r>
        <w:t>Figur 1. Fyndplatser för naturvårdsarter i och inom 2 meter från avverkningsanmälan. Markörer utan svart kant är placerade på fyndplatsen. Markörer med svart kant är placerade vid sidan av fyndplatsen och har ett svart streck som visar fyndplatsens exakta position. Kartans mittpunktskoordinat är N 6708161, E 576566 i SWEREF 99 TM.</w:t>
      </w:r>
    </w:p>
    <w:p>
      <w:r>
        <w:t>I och inom 2 meter från avverkningsanmälan finns fynd av 2 naturvårdsarter, varav 2 är rödlistade, 1 är fridlyst och 2 är typiska (T): knärot (VU, T, §8) och dropptaggsvamp (NT, T).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Knärot (VU, §8)</w:t>
      </w:r>
      <w:r>
        <w:t xml:space="preserve"> är typisk art för </w:t>
      </w:r>
      <w:r>
        <w:rPr>
          <w:i/>
        </w:rPr>
        <w:t xml:space="preserve">9010 Taiga </w:t>
      </w:r>
      <w:r>
        <w:t>och</w:t>
      </w:r>
      <w:r>
        <w:rPr>
          <w:i/>
        </w:rPr>
        <w:t xml:space="preserve"> 9050 Näringsrik granskog</w:t>
      </w:r>
      <w:r>
        <w:t xml:space="preserve">,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Ytterligare en studie visar på den starka korrelationen mellan minskande arealer kontinuitetsskog och lokal utdöenderisk. Knäroten uppvisade en mycket låg koloniseringsgrad (0,7 % över 10 år) i kombination med hög lokal utrotningsrisk (75,2 %), där utrotningssannolikheten ökade kraftigt när arealen kontinuitetsskog minskade mellan undersökningar, t.ex. på grund av kalhyggesbruk (Johansson et al., 2026).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avverkningsanmälda området finns 4 fyndplatser för knärot registrerade på Artportalen. Figur 2 visar gränserna för buffertzoner på 50 m, som behöver lämnas kring fyndplatserna för att knärotslokalerna inte ska försvinna vid en avverkning. Av det avverkningsanmälda området överlappar 0.87 ha med buffertzonerna och får av detta skäl inte avverkas.</w:t>
      </w:r>
    </w:p>
    <w:p>
      <w:pPr>
        <w:pStyle w:val="Caption"/>
      </w:pPr>
      <w:r>
        <w:drawing>
          <wp:inline xmlns:a="http://schemas.openxmlformats.org/drawingml/2006/main" xmlns:pic="http://schemas.openxmlformats.org/drawingml/2006/picture">
            <wp:extent cx="5486400" cy="4078035"/>
            <wp:docPr id="2" name="Picture 2"/>
            <wp:cNvGraphicFramePr>
              <a:graphicFrameLocks noChangeAspect="1"/>
            </wp:cNvGraphicFramePr>
            <a:graphic>
              <a:graphicData uri="http://schemas.openxmlformats.org/drawingml/2006/picture">
                <pic:pic>
                  <pic:nvPicPr>
                    <pic:cNvPr id="0" name="A 37011-2025 karta knärot.png"/>
                    <pic:cNvPicPr/>
                  </pic:nvPicPr>
                  <pic:blipFill>
                    <a:blip r:embed="rId17"/>
                    <a:stretch>
                      <a:fillRect/>
                    </a:stretch>
                  </pic:blipFill>
                  <pic:spPr>
                    <a:xfrm>
                      <a:off x="0" y="0"/>
                      <a:ext cx="5486400" cy="4078035"/>
                    </a:xfrm>
                    <a:prstGeom prst="rect"/>
                  </pic:spPr>
                </pic:pic>
              </a:graphicData>
            </a:graphic>
          </wp:inline>
        </w:drawing>
      </w:r>
    </w:p>
    <w:p>
      <w:pPr>
        <w:pStyle w:val="Caption"/>
        <w:spacing w:after="240"/>
      </w:pPr>
      <w:r>
        <w:t>Figur 2. Fyndplatser och buffertzoner för knärot i det avverkningsanmälda området. Endast fyndplatser vars buffertzoner överlappar med det avverkningsanmälda området har tagits med i visualiseringen. Kartans mittpunktskoordinat är N 6708161, E 576566 i SWEREF 99 TM.</w:t>
      </w:r>
    </w:p>
    <w:p>
      <w:r>
        <w:rPr>
          <w:b/>
        </w:rPr>
        <w:t>Dropptaggsvamp (NT)</w:t>
      </w:r>
      <w:r>
        <w:t xml:space="preserve"> bildar mykorrhiza med tall, främst i barrskog med trädkontinuitet, i magra, torra och ljusöppna lavtallskogar och i barrblandskogar med friskmossor och lingon i fältskiktet. Den totala populationen i landet har minskat och bedöms fortsätta minska till följd av slutavverkningar av tallskog. Det är högst oklart om arten långsiktigt kan etablera och reproducera sig i skogsbestånd som brukas med trakthyggesmetoder, markberedning, gödsling eller föryngring med förädlat plantmaterial. Uppfyller kriterierna för att bli rödlistad på grund av ny kunskap som visar att en större andel av populationen än tidigare bedömt är knuten till kontinuitetsbarrskog. Minskningstakten för den svenska populationen bedöms vara nära gränsvärdet för Sårbar (VU). Dropptaggsvamp är typisk art för </w:t>
      </w:r>
      <w:r>
        <w:rPr>
          <w:i/>
        </w:rPr>
        <w:t xml:space="preserve">9010 Taiga </w:t>
      </w:r>
      <w:r>
        <w:t>(SLU Artdatabanken, 2026).</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Knärot – ekologi samt krav på livsmiljön</w:t>
      </w:r>
    </w:p>
    <w:p>
      <w:r>
        <w:t xml:space="preserve">Knärot är typisk art för </w:t>
      </w:r>
      <w:r>
        <w:rPr>
          <w:i/>
        </w:rPr>
        <w:t xml:space="preserve">9010 Taiga </w:t>
      </w:r>
      <w:r>
        <w:t>och</w:t>
      </w:r>
      <w:r>
        <w:rPr>
          <w:i/>
        </w:rPr>
        <w:t xml:space="preserve"> 9050 Näringsrik granskog</w:t>
      </w:r>
      <w:r>
        <w:t>,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 Detta stöds även av en studie (Johansson et al, 2026) baserad på data från Riksskogstaxeringen som visar att knäroten minskat med 66 % under perioden 1993–2022 samt att det finns en stark korrelation mellan minskande arealer kontinuitetsskog och lokal utdöenderisk. Knäroten uppvisade en mycket låg koloniseringsgrad (0,7 % över 10 år) i kombination med hög lokal utrotningsrisk (75,2 %), där utrotningssannolikheten ökade kraftigt när arealen kontinuitetsskog minskade mellan undersökningar, t.ex. på grund av kalhyggesbruk (Johansson et al., 2026).</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Ytterligare en studie (Koelmeijer m.fl., 2022) inkluderar knärotens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Johansson, V., Jansson, M. och Bergman, K-O</w:t>
      </w:r>
      <w:r>
        <w:rPr>
          <w:i/>
        </w:rPr>
        <w:t>.</w:t>
      </w:r>
      <w:r>
        <w:t>, 2026.</w:t>
      </w:r>
      <w:r>
        <w:rPr>
          <w:i/>
        </w:rPr>
        <w:t xml:space="preserve"> A 30-year population decline of a threatened forest orchid associated with old growth forests</w:t>
      </w:r>
      <w:r>
        <w:t>. Department of Physics, Chemistry and Biology (IFM), Linköping University.</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2026-10-24</w:t>
      <w:br/>
      <w:br/>
    </w:r>
    <w:r>
      <w:t>Till: Sveaskog</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