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8217-2026 i Hofors kommun</w:t>
      </w:r>
    </w:p>
    <w:p>
      <w:r>
        <w:t>Detta klagomål behandlar höga naturvärden i avverkningsanmälan A 8217-2026 i Hofors kommun som inkom 2026-02-11 och omfattar 5,6 ha.</w:t>
      </w:r>
    </w:p>
    <w:p>
      <w:pPr>
        <w:pStyle w:val="Caption"/>
      </w:pPr>
      <w:r>
        <w:drawing>
          <wp:inline xmlns:a="http://schemas.openxmlformats.org/drawingml/2006/main" xmlns:pic="http://schemas.openxmlformats.org/drawingml/2006/picture">
            <wp:extent cx="5486400" cy="4416438"/>
            <wp:docPr id="1" name="Picture 1"/>
            <wp:cNvGraphicFramePr>
              <a:graphicFrameLocks noChangeAspect="1"/>
            </wp:cNvGraphicFramePr>
            <a:graphic>
              <a:graphicData uri="http://schemas.openxmlformats.org/drawingml/2006/picture">
                <pic:pic>
                  <pic:nvPicPr>
                    <pic:cNvPr id="0" name="A 8217-2026 karta.png"/>
                    <pic:cNvPicPr/>
                  </pic:nvPicPr>
                  <pic:blipFill>
                    <a:blip r:embed="rId16"/>
                    <a:stretch>
                      <a:fillRect/>
                    </a:stretch>
                  </pic:blipFill>
                  <pic:spPr>
                    <a:xfrm>
                      <a:off x="0" y="0"/>
                      <a:ext cx="5486400" cy="4416438"/>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6712405, E 576487 i SWEREF 99 TM.</w:t>
      </w:r>
    </w:p>
    <w:p>
      <w:r>
        <w:t>I och inom 23 meter från avverkningsanmälan finns fynd av 25 naturvårdsarter, varav 9 är rödlistade, 6 är fridlysta, 13 är typiska (T) och 11 är signalarter (S): bitter taggsvamp (EN), knärot (VU, T, §8), ostticka (VU, T), dropptaggsvamp (NT, T), fjällig taggsvamp s.str. (NT), kortskaftad ärgspik (NT), orange taggsvamp (NT, T), tretåig hackspett (NT, T, §4), vedtrappmossa (NT, T), björksplintborre (S), blodticka (S, T), bronshjon (S, T), olivspindling (S), rödgul trumpetsvamp (S), smal svampklubba (S), strimspindling (S), svavelriska (S), thomsons trägnagare (S), vedticka (S, T), vågbandad barkbock (S), blåsippa (T, §9), kransmossa (T), spillkråka (T, §4), tjäder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Bitter taggsvamp (EN) </w:t>
      </w:r>
      <w:r>
        <w:t>är en sällsynt och starkt hotad ”toppart” som bildar mykorrhiza med gran, möjligen även med tall, i äldre barrskogar med lång kontinuitet. Förekommer på kalkrik eller annan basiskt påverkad mark, främst i miljöer med hög luftfuktighet. Svampen har i friskt tillstånd en säregen doft av bittermandelolja och fruktköttet är mycket bittert i smaken. Arten hotas främst av avverkning och tål inte en slutavverkning utan kräver ett kontinuerligt äldre trädskikt med gran. Äldre barrskogar med basisk påverkan och lång kontinuitet, även små områden, har ett mycket högt skyddsvärde och bör i största möjliga utsträckning undantas från trakthyggesbruk. Slutavverkning, kraftig gallring och skogsmarksgödsling måste helt undvikas, liksom körning med tunga maskiner. Lokalerna bör skyddas formellt. Bitter taggsvamp ingår i ett åtgärdsprogram för hotade arter (ÅGP) och är placerad högst upp i Skogsstyrelsens värdepyramid för bedömning av skog med höga naturvärden (SLU Artdatabanken, 2026; Nitare &amp; Skogsstyrelsen, 2019; Nitare 2006).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2.45 ha med buffertzonerna och får av detta skäl inte avverkas.</w:t>
      </w:r>
    </w:p>
    <w:p>
      <w:pPr>
        <w:pStyle w:val="Caption"/>
      </w:pPr>
      <w:r>
        <w:drawing>
          <wp:inline xmlns:a="http://schemas.openxmlformats.org/drawingml/2006/main" xmlns:pic="http://schemas.openxmlformats.org/drawingml/2006/picture">
            <wp:extent cx="5486400" cy="5588178"/>
            <wp:docPr id="2" name="Picture 2"/>
            <wp:cNvGraphicFramePr>
              <a:graphicFrameLocks noChangeAspect="1"/>
            </wp:cNvGraphicFramePr>
            <a:graphic>
              <a:graphicData uri="http://schemas.openxmlformats.org/drawingml/2006/picture">
                <pic:pic>
                  <pic:nvPicPr>
                    <pic:cNvPr id="0" name="A 8217-2026 karta knärot.png"/>
                    <pic:cNvPicPr/>
                  </pic:nvPicPr>
                  <pic:blipFill>
                    <a:blip r:embed="rId17"/>
                    <a:stretch>
                      <a:fillRect/>
                    </a:stretch>
                  </pic:blipFill>
                  <pic:spPr>
                    <a:xfrm>
                      <a:off x="0" y="0"/>
                      <a:ext cx="5486400" cy="558817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6712405, E 576487 i SWEREF 99 TM.</w:t>
      </w:r>
    </w:p>
    <w:p>
      <w:r>
        <w:rPr>
          <w:b/>
        </w:rPr>
        <w:t xml:space="preserve">Ostticka (VU) </w:t>
      </w:r>
      <w:r>
        <w:t xml:space="preserve">växer huvudsakligen på grova granlågor i urskogsartad barrskog. Växtplatserna ligger vanligtvis i brandrefugiala områden med relativt hög luftfuktighet där skogen under lång tid haft en intern beståndsdynamik med successivt avdöende träd. Alla skogsskötselåtgärder på eller i omedelbar närhet av lokalerna inverkar negativt på artens fortlevnad. Ostticka är typisk art för </w:t>
      </w:r>
      <w:r>
        <w:rPr>
          <w:i/>
        </w:rPr>
        <w:t xml:space="preserve">9010 Taiga </w:t>
      </w:r>
      <w:r>
        <w:t xml:space="preserve">och </w:t>
      </w:r>
      <w:r>
        <w:rPr>
          <w:i/>
        </w:rPr>
        <w:t>9030 Landhöjningsskog</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Olivspindling</w:t>
      </w:r>
      <w:r>
        <w:t xml:space="preserve"> växer uteslutande på näringsrik och kalkhaltig skogsmark där den huvudsakligen bildar mykorrhiza med gran och tall. Svampen är en typisk representant för kalkgranskogens särpräglade och rika svampflora. Kalavverkning är ett hot mot arten, eftersom den sannolikt kräver lång kontinuitet av äldre träd. Populationerna i landet bedöms därför minska beroende på slutavverkning av äldre barrskog på kalkhaltig mark (SLU Artdatabanken, 2024; Nitare &amp; Skogsstyrelsen, 2019).</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20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25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