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2402-2025 i Hofors kommun</w:t>
      </w:r>
    </w:p>
    <w:p>
      <w:r>
        <w:t>Denna tillsynsbegäran behandlar höga naturvärden i samrådsanmälan S 2402-2025 i Hofors kommun som inkom 2025-08-26 och omfattar 12,6 ha.</w:t>
      </w:r>
    </w:p>
    <w:p>
      <w:pPr>
        <w:pStyle w:val="Caption"/>
      </w:pPr>
      <w:r>
        <w:drawing>
          <wp:inline xmlns:a="http://schemas.openxmlformats.org/drawingml/2006/main" xmlns:pic="http://schemas.openxmlformats.org/drawingml/2006/picture">
            <wp:extent cx="5486400" cy="4343871"/>
            <wp:docPr id="1" name="Picture 1"/>
            <wp:cNvGraphicFramePr>
              <a:graphicFrameLocks noChangeAspect="1"/>
            </wp:cNvGraphicFramePr>
            <a:graphic>
              <a:graphicData uri="http://schemas.openxmlformats.org/drawingml/2006/picture">
                <pic:pic>
                  <pic:nvPicPr>
                    <pic:cNvPr id="0" name="S 2402-2025 karta.png"/>
                    <pic:cNvPicPr/>
                  </pic:nvPicPr>
                  <pic:blipFill>
                    <a:blip r:embed="rId16"/>
                    <a:stretch>
                      <a:fillRect/>
                    </a:stretch>
                  </pic:blipFill>
                  <pic:spPr>
                    <a:xfrm>
                      <a:off x="0" y="0"/>
                      <a:ext cx="5486400" cy="434387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6711745, E 565974 i SWEREF 99 TM.</w:t>
      </w:r>
    </w:p>
    <w:p>
      <w:r>
        <w:t>I samrådsanmälan finns fynd av 2 naturvårdsarter, varav 1 är fridlyst och 1 är typisk (T): svarta vinbär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