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37176-2022 i Hofors kommun</w:t>
      </w:r>
    </w:p>
    <w:p>
      <w:r>
        <w:t>Detta dokument behandlar höga naturvärden i avverkningsanmälan A 37176-2022 i Hofors kommun. Denna avverkningsanmälan inkom 2022-09-02 00:00:00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åsstarr (VU), dvärgbägarlav (NT), fyrflikig jordstjärna (NT), garnlav (NT), kortskaftad ärgspik (NT), motaggsvamp (NT), skogstrappmossa (NT), slåtterfibbla (NT), tretåig hackspett (NT, §4), ullticka (NT),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vågbandad barkbock (S), brudsporre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 karta.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r>
        <w:rPr>
          <w:b/>
        </w:rPr>
        <w:t xml:space="preserve">Blåsfliksmossa </w:t>
      </w:r>
      <w:r>
        <w:t>växer i skuggiga och fuktiga miljöer på klippor och stenar av såväl grönsten som silikat, till exempel intill naturliga skogsbäckar, i raviner och bergbranter. Den signalerar höga naturvärden främst i östra och norra Sverige och indikerar miljöer med jämn och hög luftfuktighet och ett basiskt underlag. Artens lokaler har ofta hög artrikedom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pPr>
        <w:pStyle w:val="Heading1"/>
      </w:pPr>
      <w:r>
        <w:t>Fridlysta arter</w:t>
      </w:r>
    </w:p>
    <w:p>
      <w:r>
        <w:t>Följande fridlysta arter har sina livsmiljöer och växtplatser i den avverkningsanmälda skogen: knärot (VU, §8), tretåig hackspett (NT, §4), brudsporre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6706655, E 577574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