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385-2019 i Ho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