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1534-2026 i Hofors kommun</w:t>
      </w:r>
    </w:p>
    <w:p>
      <w:r>
        <w:t>Denna tillsynsbegäran behandlar höga naturvärden i samrådsanmälan S 1534-2026 i Hofors kommun som inkom 2026-05-22 och omfattar 1,7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1534-2026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6701778, E 572847 i SWEREF 99 TM.</w:t>
      </w:r>
    </w:p>
    <w:p>
      <w:r>
        <w:t>I och inom 24 meter från samrådsanmälan finns fynd av 12 naturvårdsarter, varav 8 är rödlistade, 3 är fridlysta, 10 är typiska (T) och 3 är signalarter (S): garnlav (VU, T), knärot (VU, T, §8), kötticka (NT), rosenticka (NT, T), rynkskinn (NT, T), tretåig hackspett (NT, T, §4), ullticka (NT, T), vedskivlav (NT, T), bronshjon (S, T), thomsons trägnagare (S),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17 fyndplatser för knärot registrerade på Artportalen. Figur 2 visar gränserna för buffertzoner på 50 m, som behöver lämnas kring fyndplatserna för att knärotslokalerna inte ska försvinna vid en avverkning. Av det samrådsanmälda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345757"/>
            <wp:docPr id="2" name="Picture 2"/>
            <wp:cNvGraphicFramePr>
              <a:graphicFrameLocks noChangeAspect="1"/>
            </wp:cNvGraphicFramePr>
            <a:graphic>
              <a:graphicData uri="http://schemas.openxmlformats.org/drawingml/2006/picture">
                <pic:pic>
                  <pic:nvPicPr>
                    <pic:cNvPr id="0" name="S 1534-2026 karta knärot.png"/>
                    <pic:cNvPicPr/>
                  </pic:nvPicPr>
                  <pic:blipFill>
                    <a:blip r:embed="rId17"/>
                    <a:stretch>
                      <a:fillRect/>
                    </a:stretch>
                  </pic:blipFill>
                  <pic:spPr>
                    <a:xfrm>
                      <a:off x="0" y="0"/>
                      <a:ext cx="5486400" cy="43457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6701778, E 572847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rosenticka (NT, T), rynkskinn (NT, T), tretåig hackspett (NT, T, §4), ullticka (NT, T), vedskivlav (NT, T), bronshjon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