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27178-2025 i Ovanåkers kommun</w:t>
      </w:r>
    </w:p>
    <w:p>
      <w:r>
        <w:t>Detta dokument behandlar höga naturvärden i avverkningsanmälan A 27178-2025 i Ovanåkers kommun. Denna avverkningsanmälan inkom 2025-06-04 08:32:28 och omfattar 13,1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11 naturvårdsarter hittats: aspgelélav (VU), garnlav (NT), granticka (NT), spillkråka (NT, §4), stiftgelélav (NT), ullticka (NT), violettgrå tagellav (NT), barkkornlav (S), korallblylav (S), skinnlav (S) och revlummer (§9).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454396"/>
            <wp:docPr id="1" name="Picture 1"/>
            <wp:cNvGraphicFramePr>
              <a:graphicFrameLocks noChangeAspect="1"/>
            </wp:cNvGraphicFramePr>
            <a:graphic>
              <a:graphicData uri="http://schemas.openxmlformats.org/drawingml/2006/picture">
                <pic:pic>
                  <pic:nvPicPr>
                    <pic:cNvPr id="0" name="A 27178-2025 karta.png"/>
                    <pic:cNvPicPr/>
                  </pic:nvPicPr>
                  <pic:blipFill>
                    <a:blip r:embed="rId16"/>
                    <a:stretch>
                      <a:fillRect/>
                    </a:stretch>
                  </pic:blipFill>
                  <pic:spPr>
                    <a:xfrm>
                      <a:off x="0" y="0"/>
                      <a:ext cx="5486400" cy="24543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6778610, E 544053 i SWEREF 99 TM.</w:t>
      </w:r>
    </w:p>
    <w:p>
      <w:r>
        <w:rPr>
          <w:b/>
        </w:rPr>
        <w:t>Aspgelélav (VU)</w:t>
      </w:r>
      <w:r>
        <w:t xml:space="preserve"> växer praktiskt taget enbart på asp i skog med hög luftfuktighet. Aspgelélav missgynnas vid slutavverkning. I norra Sverige hotas arten genom slutavverkning av äldre barrskog med åldriga aspar, ofta på skogsbergens sluttningar. Arten försvinner på aspar som lämnas kvar på hyggen (SLU Artdatabanken, 2024).</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Stiftgelélav (NT)</w:t>
      </w:r>
      <w:r>
        <w:t xml:space="preserve"> växer på gamla aspar och sälgar i blandskogar med hög luftfuktighet. Slutavverkning och vedhuggning är de största hoten och lokaler bör undantas från rationell skogsskötsel. På lång sikt måste inslaget av asp öka i svensk skog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pPr>
        <w:pStyle w:val="Heading1"/>
      </w:pPr>
      <w:r>
        <w:t>Fridlysta arter</w:t>
      </w:r>
    </w:p>
    <w:p>
      <w:r>
        <w:t>Följande fridlysta arter har sina livsmiljöer och växtplatser i den avverkningsanmälda skogen: spillkråka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