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5582-2026 i Ovanåkers kommun</w:t>
      </w:r>
    </w:p>
    <w:p>
      <w:r>
        <w:t>Detta dokument behandlar höga naturvärden i avverkningsanmälan A 5582-2026 i Ovanåkers kommun. Denna avverkningsanmälan inkom 2026-01-29 07:23:18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korallrot (S, §8), spindelblomster (S, §8), tvåblad (S, §8), fläcknycklar (§8), myggblomster (§8),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5582-2026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6797009, E 543169 i SWEREF 99 TM.</w:t>
      </w:r>
    </w:p>
    <w:p>
      <w:pPr>
        <w:pStyle w:val="Heading1"/>
      </w:pPr>
      <w:r>
        <w:t>Fridlysta arter</w:t>
      </w:r>
    </w:p>
    <w:p>
      <w:r>
        <w:t>Följande fridlysta arter har sina livsmiljöer och växtplatser i den avverkningsanmälda skogen: knärot (VU, §8), korallrot (S, §8), spindelblomster (S, §8), tvåblad (S, §8), fläcknycklar (§8), myggblomster (§8), nattviol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21442"/>
            <wp:docPr id="2" name="Picture 2"/>
            <wp:cNvGraphicFramePr>
              <a:graphicFrameLocks noChangeAspect="1"/>
            </wp:cNvGraphicFramePr>
            <a:graphic>
              <a:graphicData uri="http://schemas.openxmlformats.org/drawingml/2006/picture">
                <pic:pic>
                  <pic:nvPicPr>
                    <pic:cNvPr id="0" name="A 5582-2026 karta knärot.png"/>
                    <pic:cNvPicPr/>
                  </pic:nvPicPr>
                  <pic:blipFill>
                    <a:blip r:embed="rId17"/>
                    <a:stretch>
                      <a:fillRect/>
                    </a:stretch>
                  </pic:blipFill>
                  <pic:spPr>
                    <a:xfrm>
                      <a:off x="0" y="0"/>
                      <a:ext cx="5486400" cy="44214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6797009, E 543169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