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47738-2025 i Ovanåkers kommun</w:t>
      </w:r>
    </w:p>
    <w:p>
      <w:r>
        <w:t>Detta dokument behandlar höga naturvärden i avverkningsanmälan A 47738-2025 i Ovanåkers kommun. Denna avverkningsanmälan inkom 2025-10-01 15:24:16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738-2025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6799881, E 559860 i SWEREF 99 TM.</w:t>
      </w:r>
    </w:p>
    <w:p>
      <w:r>
        <w:rPr>
          <w:b/>
        </w:rPr>
        <w:t>Myskmåra (NT)</w:t>
      </w:r>
      <w:r>
        <w:t xml:space="preserve"> förekommer både i granskog, blandskog och lövskog med en stark förkärlek till blockig skogsmark vid berg och raviner. Arten minskar på grund av att skogar som tidigare sparades nu avverkas och få lokaler har ett verkningsfullt skydd. Den sprids inte så lätt till nya lokaler och missgynnas av alltför omfattande skogliga ingrepp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