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45004-2019 i Ovanåkers kommun</w:t>
      </w:r>
    </w:p>
    <w:p>
      <w:r>
        <w:t>Detta dokument behandlar höga naturvärden i avverkningsanmälan A 45004-2019 i Ovanåkers kommun. Denna avverkningsanmälan inkom 2019-09-05 och omfattar 7,5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12 naturvårdsarter hittats: knärot (VU, §8), garnlav (NT), kolflarnlav (NT), lunglav (NT), tretåig hackspett (NT, §4), korallrot (S, §8), spindelblomster (S, §8), tibast (S), tvåblad (S, §8), tjäder (§4), fläcknycklar (§8) och nattviol (§8).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430847"/>
            <wp:docPr id="1" name="Picture 1"/>
            <wp:cNvGraphicFramePr>
              <a:graphicFrameLocks noChangeAspect="1"/>
            </wp:cNvGraphicFramePr>
            <a:graphic>
              <a:graphicData uri="http://schemas.openxmlformats.org/drawingml/2006/picture">
                <pic:pic>
                  <pic:nvPicPr>
                    <pic:cNvPr id="0" name="A 45004-2019 karta.png"/>
                    <pic:cNvPicPr/>
                  </pic:nvPicPr>
                  <pic:blipFill>
                    <a:blip r:embed="rId16"/>
                    <a:stretch>
                      <a:fillRect/>
                    </a:stretch>
                  </pic:blipFill>
                  <pic:spPr>
                    <a:xfrm>
                      <a:off x="0" y="0"/>
                      <a:ext cx="5486400" cy="24308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6831264, E 533530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Fridlysta arter</w:t>
      </w:r>
    </w:p>
    <w:p>
      <w:r>
        <w:t>Följande fridlysta arter har sina livsmiljöer och växtplatser i den avverkningsanmälda skogen: knärot (VU, §8), tretåig hackspett (NT, §4), korallrot (S, §8), spindelblomster (S, §8), tvåblad (S, §8), tjäder (§4), fläcknycklar (§8) och nattviol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14 fyndplatser för knärot registrerade på Artportalen. Figur 2 visar gränserna för buffertzoner på 50 m, som behöver lämnas kring fyndplatserna för att knärotslokalerna inte ska försvinna vid en avverkning. Av det avverkningsanmälda området överlappar 4.06 ha med buffertzonerna och får av detta skäl inte avverkas.</w:t>
      </w:r>
    </w:p>
    <w:p>
      <w:pPr>
        <w:pStyle w:val="Caption"/>
      </w:pPr>
      <w:r>
        <w:drawing>
          <wp:inline xmlns:a="http://schemas.openxmlformats.org/drawingml/2006/main" xmlns:pic="http://schemas.openxmlformats.org/drawingml/2006/picture">
            <wp:extent cx="5486400" cy="2733524"/>
            <wp:docPr id="2" name="Picture 2"/>
            <wp:cNvGraphicFramePr>
              <a:graphicFrameLocks noChangeAspect="1"/>
            </wp:cNvGraphicFramePr>
            <a:graphic>
              <a:graphicData uri="http://schemas.openxmlformats.org/drawingml/2006/picture">
                <pic:pic>
                  <pic:nvPicPr>
                    <pic:cNvPr id="0" name="A 45004-2019 karta knärot.png"/>
                    <pic:cNvPicPr/>
                  </pic:nvPicPr>
                  <pic:blipFill>
                    <a:blip r:embed="rId17"/>
                    <a:stretch>
                      <a:fillRect/>
                    </a:stretch>
                  </pic:blipFill>
                  <pic:spPr>
                    <a:xfrm>
                      <a:off x="0" y="0"/>
                      <a:ext cx="5486400" cy="273352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6831264, E 533530 i SWEREF 99 TM.</w:t>
      </w:r>
    </w:p>
    <w:p>
      <w:pPr>
        <w:pStyle w:val="Caption"/>
      </w:pP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