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som inkom 2026-02-20 och omfattar 17,9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