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44032-2023 i Nordanstigs kommun</w:t>
      </w:r>
    </w:p>
    <w:p>
      <w:r>
        <w:t>Detta dokument behandlar höga naturvärden i avverkningsanmälan A 44032-2023 i Nordanstigs kommun som inkom 2023-09-19 och omfattar 5,3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revlummer (§9). För fridlysta arter anges även paragrafen i Artskyddsförordningen som arten är fridlyst enligt.</w:t>
      </w:r>
    </w:p>
    <w:p>
      <w:r>
        <w:t>De påträffade naturvårdsarterna är ett tydligt kvitto på att det rör sig om en skog med höga naturvärden.</w:t>
      </w:r>
      <w:r>
        <w:t xml:space="preserve"> I Figur 1 visas fyndplatser för naturvårdsarter i området, som finns registrerade på Artportalen.</w:t>
      </w:r>
    </w:p>
    <w:p>
      <w:pPr>
        <w:pStyle w:val="Caption"/>
      </w:pPr>
      <w:r>
        <w:drawing>
          <wp:inline xmlns:a="http://schemas.openxmlformats.org/drawingml/2006/main" xmlns:pic="http://schemas.openxmlformats.org/drawingml/2006/picture">
            <wp:extent cx="5486400" cy="5147035"/>
            <wp:docPr id="1" name="Picture 1"/>
            <wp:cNvGraphicFramePr>
              <a:graphicFrameLocks noChangeAspect="1"/>
            </wp:cNvGraphicFramePr>
            <a:graphic>
              <a:graphicData uri="http://schemas.openxmlformats.org/drawingml/2006/picture">
                <pic:pic>
                  <pic:nvPicPr>
                    <pic:cNvPr id="0" name="A 44032-2023 karta.png"/>
                    <pic:cNvPicPr/>
                  </pic:nvPicPr>
                  <pic:blipFill>
                    <a:blip r:embed="rId16"/>
                    <a:stretch>
                      <a:fillRect/>
                    </a:stretch>
                  </pic:blipFill>
                  <pic:spPr>
                    <a:xfrm>
                      <a:off x="0" y="0"/>
                      <a:ext cx="5486400" cy="5147035"/>
                    </a:xfrm>
                    <a:prstGeom prst="rect"/>
                  </pic:spPr>
                </pic:pic>
              </a:graphicData>
            </a:graphic>
          </wp:inline>
        </w:drawing>
      </w:r>
    </w:p>
    <w:p>
      <w:pPr>
        <w:pStyle w:val="Caption"/>
        <w:spacing w:after="240"/>
      </w:pPr>
      <w:r>
        <w:t>Figur 1. Fyndplatser för naturvårdsarter i avverkningsanmälan (röd linje). Markörer utan svart kant är placerade på fyndplatsen. Markörer med svart kant är placerade vid sidan av fyndplatsen och har ett svart streck som visar fyndplatsens exakta position. Kartans mittpunktskoordinat är N 6900452, E 564630 i SWEREF 99 TM.</w:t>
      </w:r>
    </w:p>
    <w:p>
      <w:pPr>
        <w:pStyle w:val="Heading2"/>
      </w:pPr>
      <w:r>
        <w:t>Fridlysta arter</w:t>
      </w:r>
    </w:p>
    <w:p>
      <w:r>
        <w:t>Följande fridlysta arter har sina livsmiljöer och växtplatser i den avverkningsanmälda skogen: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2026-06-20</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