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494-2025 i Ljusdals kommun</w:t>
      </w:r>
    </w:p>
    <w:p>
      <w:r>
        <w:t>Detta klagomål behandlar höga naturvärden i samrådsanmälan S 494-2025 i Ljusdals kommun som inkom 2025-02-17 och omfattar 647,8 ha.</w:t>
      </w:r>
    </w:p>
    <w:p>
      <w:pPr>
        <w:pStyle w:val="Caption"/>
      </w:pPr>
      <w:r>
        <w:drawing>
          <wp:inline xmlns:a="http://schemas.openxmlformats.org/drawingml/2006/main" xmlns:pic="http://schemas.openxmlformats.org/drawingml/2006/picture">
            <wp:extent cx="5338466" cy="5724000"/>
            <wp:docPr id="1" name="Picture 1"/>
            <wp:cNvGraphicFramePr>
              <a:graphicFrameLocks noChangeAspect="1"/>
            </wp:cNvGraphicFramePr>
            <a:graphic>
              <a:graphicData uri="http://schemas.openxmlformats.org/drawingml/2006/picture">
                <pic:pic>
                  <pic:nvPicPr>
                    <pic:cNvPr id="0" name="S 494-2025 karta.png"/>
                    <pic:cNvPicPr/>
                  </pic:nvPicPr>
                  <pic:blipFill>
                    <a:blip r:embed="rId16"/>
                    <a:stretch>
                      <a:fillRect/>
                    </a:stretch>
                  </pic:blipFill>
                  <pic:spPr>
                    <a:xfrm>
                      <a:off x="0" y="0"/>
                      <a:ext cx="5338466" cy="5724000"/>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6839938, E 510284 i SWEREF 99 TM.</w:t>
      </w:r>
    </w:p>
    <w:p>
      <w:r>
        <w:t>Inom 25 meter från samrådsanmälan finns fynd av 3 naturvårdsarter, varav 2 är rödlistade, 1 är fridlyst och 1 är typisk (T): garnlav (VU, T), blågrå svartspik (NT)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