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77-2025 i Ljusdals kommun</w:t>
      </w:r>
    </w:p>
    <w:p>
      <w:r>
        <w:t>Denna tillsynsbegäran behandlar höga naturvärden i avverkningsanmälan A 77-2025 i Ljusdals kommun som inkom 2025-01-02 och omfattar 15,6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77-2025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6832933, E 497469 i SWEREF 99 TM.</w:t>
      </w:r>
    </w:p>
    <w:p>
      <w:r>
        <w:t>I och inom 3 meter från avverkningsanmälan finns fynd av 20 naturvårdsarter, varav 18 är rödlistade, 5 är fridlysta, 11 är typiska (T) och 1 är signalart (S): garnlav (VU, T), gräddporing (VU, T), knärot (VU, T, §8), rostskinn (VU), smalfotad taggsvamp (VU), björktrast (NT, §4), dropptaggsvamp (NT, T), dvärgbägarlav (NT, T), kolflarnlav (NT, T), lunglav (NT, T), mörk kolflarnlav (NT), nordtagging (NT), skrovellav (NT, T), talltita (NT, §4), tretåig hackspett (NT, T, §4), vaddporing (NT), vedflamlav (NT), vedskivlav (NT, T), stor revmossa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7033226"/>
            <wp:docPr id="2" name="Picture 2"/>
            <wp:cNvGraphicFramePr>
              <a:graphicFrameLocks noChangeAspect="1"/>
            </wp:cNvGraphicFramePr>
            <a:graphic>
              <a:graphicData uri="http://schemas.openxmlformats.org/drawingml/2006/picture">
                <pic:pic>
                  <pic:nvPicPr>
                    <pic:cNvPr id="0" name="A 77-2025 karta knärot.png"/>
                    <pic:cNvPicPr/>
                  </pic:nvPicPr>
                  <pic:blipFill>
                    <a:blip r:embed="rId17"/>
                    <a:stretch>
                      <a:fillRect/>
                    </a:stretch>
                  </pic:blipFill>
                  <pic:spPr>
                    <a:xfrm>
                      <a:off x="0" y="0"/>
                      <a:ext cx="5486400" cy="70332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6832933, E 497469 i SWEREF 99 TM.</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dropptaggsvamp (NT, T), dvärgbägarlav (NT, T), kolflarnlav (NT, T), lunglav (NT, T), skrovellav (NT, T), tretåig hackspett (NT, T, §4), vedskivlav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