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77-2025 i Ljusdals kommun</w:t>
      </w:r>
    </w:p>
    <w:p>
      <w:r>
        <w:t>Detta dokument behandlar höga naturvärden i avverkningsanmälan A 77-2025 i Ljusdals kommun. Denna avverkningsanmälan inkom 2025-01-02 10:34:28 och omfattar 15,6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20 naturvårdsarter hittats: gräddporing (VU), knärot (VU, §8), rostskinn (VU), smalfotad taggsvamp (VU), björktrast (NT, §4), dvärgbägarlav (NT), garnlav (NT), kolflarnlav (NT), lunglav (NT), mörk kolflarnlav (NT), nordtagging (NT), skrovellav (NT), spillkråka (NT, §4), talltita (NT, §4), tretåig hackspett (NT, §4), vaddporing (NT), vedflamlav (NT), vedskivlav (NT), dropptaggsvamp (S) och stor revmossa (S). Av dessa är 18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33777"/>
            <wp:docPr id="1" name="Picture 1"/>
            <wp:cNvGraphicFramePr>
              <a:graphicFrameLocks noChangeAspect="1"/>
            </wp:cNvGraphicFramePr>
            <a:graphic>
              <a:graphicData uri="http://schemas.openxmlformats.org/drawingml/2006/picture">
                <pic:pic>
                  <pic:nvPicPr>
                    <pic:cNvPr id="0" name="A 77-2025 karta.png"/>
                    <pic:cNvPicPr/>
                  </pic:nvPicPr>
                  <pic:blipFill>
                    <a:blip r:embed="rId16"/>
                    <a:stretch>
                      <a:fillRect/>
                    </a:stretch>
                  </pic:blipFill>
                  <pic:spPr>
                    <a:xfrm>
                      <a:off x="0" y="0"/>
                      <a:ext cx="5486400" cy="543377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6832933, E 497469 i SWEREF 99 TM.</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Nordtagging (NT)</w:t>
      </w:r>
      <w:r>
        <w:t xml:space="preserve"> växer främst på tallågor av grövre dimensioner och påträffas huvudsakligen i äldre skog som inte kalavverkats. Nordtaggingen missgynnas av att områden med äldre tallskog har minskat starkt. Bekämpning av skogsbränder, samtidigt som skogsbruket omvandlar naturligt glesa tallbestånd till likartade och betydligt tätare bestånd, har missgynnat arten. Bristen på gamla tallågor utgör på sikt ett allvarligt hot och återskapandet av lämpliga biotoper tar mycket lång tid. Områden med olikåldriga bestånd av tall och med stort inslag av äldre träd bör undantas från skoglig produktion (SLU Artdatabanken, 2024).</w:t>
      </w:r>
    </w:p>
    <w:p>
      <w:r>
        <w:rPr>
          <w:b/>
        </w:rPr>
        <w:t xml:space="preserve">Rostskinn (VU) </w:t>
      </w:r>
      <w:r>
        <w:t>är en mycket sällsynt vednedbrytare i liggande, murkna stammar av gran och tall i frisk till fuktig barrskog. Artens missgynnas av avverkning och minskad tillgång på döda träd. Arten bör eftersökas i lämpliga naturskogar i Norrland så att dess status bättre kan beläggas. I väntan på detta bör alla kända växtplatser hållas under uppsikt och skydd övervägas vid påkallat behov (SLU Artdatabanken, 2024).</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Smalfotad taggsvamp (VU)</w:t>
      </w:r>
      <w:r>
        <w:t>, rödlistad som sårbar, växer på marken under lågor eller fallna stubbar i brandpräglad torr tallskog med lång kontinuitet. Arten är starkt associerad till kolad ved från tallar som sannolikt varit med om flera historiska skogsbränder. Detta är en process som kan ta många hundra år och det tar således mycket lång tid att återskapa lämpliga substrat. Smalfotad taggsvamp är placerad i toppen av Skogsstyrelsens värdepyramid för bedömning av skog med höga naturvärden samt globalt rödlistad som sårbar (VU) vilket innebär att Sverige har ett internationellt ansvar för arten (IUCN Redlist, 2024; Nitare &amp; Skogsstyrelsen, 2019; SLU Artdatabanken, 2024).</w:t>
      </w:r>
    </w:p>
    <w:p>
      <w:r>
        <w:rPr>
          <w:b/>
        </w:rPr>
        <w:t xml:space="preserve">Vaddporing (NT) </w:t>
      </w:r>
      <w:r>
        <w:t>är en brunrötande vednedbrytare som hittas på undersidan av liggande murken tallved i olika former. Substratet utgörs framför allt av den typ av hård, kådimpregnerad och ofta kolad tallved som skapas i brandpräglad skog. Vedtypen nybildas i mycket liten omfattning och det är sannolikt att arten upplever en utdöendeskuld. För att garantera artens fortlevnad bör man både säkra att artens växtplatser hålls intakta samt att långsiktigt säkerställa att ny ved tillkommer, allra helst i omedelbar anslutning till artens växtplatser. Skoglig gallring och annat uttag av virke innebär ett hot mot arten (SLU Artdatabanken, 2024).</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pPr>
        <w:pStyle w:val="Heading1"/>
      </w:pPr>
      <w:r>
        <w:t>Fridlysta arter</w:t>
      </w:r>
    </w:p>
    <w:p>
      <w:r>
        <w:t>Följande fridlysta arter har sina livsmiljöer och växtplatser i den avverkningsanmälda skogen: knärot (VU, §8), björktrast (NT, §4), spillkråka (NT, §4), talltita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0.84 ha med buffertzonerna och får av detta skäl inte avverkas.</w:t>
      </w:r>
    </w:p>
    <w:p>
      <w:pPr>
        <w:pStyle w:val="Caption"/>
      </w:pPr>
      <w:r>
        <w:drawing>
          <wp:inline xmlns:a="http://schemas.openxmlformats.org/drawingml/2006/main" xmlns:pic="http://schemas.openxmlformats.org/drawingml/2006/picture">
            <wp:extent cx="5486400" cy="7033226"/>
            <wp:docPr id="2" name="Picture 2"/>
            <wp:cNvGraphicFramePr>
              <a:graphicFrameLocks noChangeAspect="1"/>
            </wp:cNvGraphicFramePr>
            <a:graphic>
              <a:graphicData uri="http://schemas.openxmlformats.org/drawingml/2006/picture">
                <pic:pic>
                  <pic:nvPicPr>
                    <pic:cNvPr id="0" name="A 77-2025 karta knärot.png"/>
                    <pic:cNvPicPr/>
                  </pic:nvPicPr>
                  <pic:blipFill>
                    <a:blip r:embed="rId17"/>
                    <a:stretch>
                      <a:fillRect/>
                    </a:stretch>
                  </pic:blipFill>
                  <pic:spPr>
                    <a:xfrm>
                      <a:off x="0" y="0"/>
                      <a:ext cx="5486400" cy="703322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6832933, E 497469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