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17701-2025 i Ljusdals kommun</w:t>
      </w:r>
    </w:p>
    <w:p>
      <w:r>
        <w:t>Detta dokument behandlar höga naturvärden i avverkningsanmälan A 17701-2025 i Ljusdals kommun. Denna avverkningsanmälan inkom 2025-04-11 och omfattar 3,5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knärot (VU, §8), rynkskinn (VU) och tjäder (§4).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16710"/>
            <wp:docPr id="1" name="Picture 1"/>
            <wp:cNvGraphicFramePr>
              <a:graphicFrameLocks noChangeAspect="1"/>
            </wp:cNvGraphicFramePr>
            <a:graphic>
              <a:graphicData uri="http://schemas.openxmlformats.org/drawingml/2006/picture">
                <pic:pic>
                  <pic:nvPicPr>
                    <pic:cNvPr id="0" name="A 17701-2025 karta.png"/>
                    <pic:cNvPicPr/>
                  </pic:nvPicPr>
                  <pic:blipFill>
                    <a:blip r:embed="rId16"/>
                    <a:stretch>
                      <a:fillRect/>
                    </a:stretch>
                  </pic:blipFill>
                  <pic:spPr>
                    <a:xfrm>
                      <a:off x="0" y="0"/>
                      <a:ext cx="5486400" cy="461671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6828962, E 548386 i SWEREF 99 TM.</w:t>
      </w:r>
    </w:p>
    <w:p>
      <w:r>
        <w:rPr>
          <w:b/>
        </w:rPr>
        <w:t>Rynkskinn (VU)</w:t>
      </w:r>
      <w:r>
        <w:t>, rödlistad som sårbar,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(Nitare &amp; Skogsstyrelsen, 2019; SLU Artdatabanken, 2024).</w:t>
      </w:r>
    </w:p>
    <w:p>
      <w:pPr>
        <w:pStyle w:val="Heading1"/>
      </w:pPr>
      <w:r>
        <w:t>Fridlysta arter</w:t>
      </w:r>
    </w:p>
    <w:p>
      <w:r>
        <w:t>Följande fridlysta arter har sina livsmiljöer och växtplatser i den avverkningsanmälda skogen: knärot (VU, §8) och tjäder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11 fyndplatser för knärot registrerade på Artportalen. Figur 2 visar gränserna för buffertzoner på 50 m, som behöver lämnas kring fyndplatserna för att knärotslokalerna inte ska försvinna vid en avverkning. Av det avverkningsanmälda området överlappar 1.76 ha med buffertzonerna och får av detta skäl inte avverkas.</w:t>
      </w:r>
    </w:p>
    <w:p>
      <w:pPr>
        <w:pStyle w:val="Caption"/>
      </w:pPr>
      <w:r>
        <w:drawing>
          <wp:inline xmlns:a="http://schemas.openxmlformats.org/drawingml/2006/main" xmlns:pic="http://schemas.openxmlformats.org/drawingml/2006/picture">
            <wp:extent cx="5486400" cy="5493264"/>
            <wp:docPr id="2" name="Picture 2"/>
            <wp:cNvGraphicFramePr>
              <a:graphicFrameLocks noChangeAspect="1"/>
            </wp:cNvGraphicFramePr>
            <a:graphic>
              <a:graphicData uri="http://schemas.openxmlformats.org/drawingml/2006/picture">
                <pic:pic>
                  <pic:nvPicPr>
                    <pic:cNvPr id="0" name="A 17701-2025 karta knärot.png"/>
                    <pic:cNvPicPr/>
                  </pic:nvPicPr>
                  <pic:blipFill>
                    <a:blip r:embed="rId17"/>
                    <a:stretch>
                      <a:fillRect/>
                    </a:stretch>
                  </pic:blipFill>
                  <pic:spPr>
                    <a:xfrm>
                      <a:off x="0" y="0"/>
                      <a:ext cx="5486400" cy="5493264"/>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6828962, E 548386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p>
      <w:pPr>
        <w:pStyle w:val="Heading1"/>
      </w:pPr>
      <w:r>
        <w:t>Tjäder – ekologi samt krav på livsmiljön</w:t>
      </w:r>
    </w:p>
    <w:p>
      <w:r>
        <w:t>Tjäder (§4)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 xml:space="preserve">Vägledning för hänsyn till fåglar – tjäder. </w:t>
      </w:r>
      <w:r>
        <w:t>https://www.skogsstyrelsen.se/globalassets/lag-och-tillsyn/artskydd/vagledningar-for-hansyn-till-faglar/tjader-vagledning-hansyn2.pdf</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2025-06-29</w:t>
      <w:br/>
      <w:br/>
    </w:r>
    <w:r>
      <w:t>Till: Kyrkan</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