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448432"/>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4484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6848196, E 489857 i SWEREF 99 TM.</w:t>
      </w:r>
    </w:p>
    <w:p>
      <w:r>
        <w:t>I och inom 23 meter från avverkningsanmälan finns fynd av 12 naturvårdsarter, varav 8 är rödlistade, 6 är fridlysta, 9 är typiska (T) och 1 är signalart (S): garnlav (VU, T), knärot (VU, T, §8), dropptaggsvamp (NT, T), kolflarnlav (NT, T), lunglav (NT, T), motaggsvamp (NT, T), rödvingetrast (NT, §4), skrovellav (NT, T), plattlummer (S, T, §9),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5.40 ha med buffertzonerna och får av detta skäl inte avverkas.</w:t>
      </w:r>
    </w:p>
    <w:p>
      <w:pPr>
        <w:pStyle w:val="Caption"/>
      </w:pPr>
      <w:r>
        <w:drawing>
          <wp:inline xmlns:a="http://schemas.openxmlformats.org/drawingml/2006/main" xmlns:pic="http://schemas.openxmlformats.org/drawingml/2006/picture">
            <wp:extent cx="5486400" cy="5497736"/>
            <wp:docPr id="2" name="Picture 2"/>
            <wp:cNvGraphicFramePr>
              <a:graphicFrameLocks noChangeAspect="1"/>
            </wp:cNvGraphicFramePr>
            <a:graphic>
              <a:graphicData uri="http://schemas.openxmlformats.org/drawingml/2006/picture">
                <pic:pic>
                  <pic:nvPicPr>
                    <pic:cNvPr id="0" name="A 30010-2026 karta knärot.png"/>
                    <pic:cNvPicPr/>
                  </pic:nvPicPr>
                  <pic:blipFill>
                    <a:blip r:embed="rId17"/>
                    <a:stretch>
                      <a:fillRect/>
                    </a:stretch>
                  </pic:blipFill>
                  <pic:spPr>
                    <a:xfrm>
                      <a:off x="0" y="0"/>
                      <a:ext cx="5486400" cy="54977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6848196, E 489857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