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55322-2021 i Ljusdals kommun</w:t>
      </w:r>
    </w:p>
    <w:p>
      <w:r>
        <w:t>Detta klagomål behandlar höga naturvärden i avverkningsanmälan A 55322-2021 i Ljusdals kommun som inkom 2021-10-06 och omfattar 4,1 ha.</w:t>
      </w:r>
    </w:p>
    <w:p>
      <w:pPr>
        <w:pStyle w:val="Caption"/>
      </w:pPr>
      <w:r>
        <w:drawing>
          <wp:inline xmlns:a="http://schemas.openxmlformats.org/drawingml/2006/main" xmlns:pic="http://schemas.openxmlformats.org/drawingml/2006/picture">
            <wp:extent cx="5313187" cy="5724000"/>
            <wp:docPr id="1" name="Picture 1"/>
            <wp:cNvGraphicFramePr>
              <a:graphicFrameLocks noChangeAspect="1"/>
            </wp:cNvGraphicFramePr>
            <a:graphic>
              <a:graphicData uri="http://schemas.openxmlformats.org/drawingml/2006/picture">
                <pic:pic>
                  <pic:nvPicPr>
                    <pic:cNvPr id="0" name="A 55322-2021 karta.png"/>
                    <pic:cNvPicPr/>
                  </pic:nvPicPr>
                  <pic:blipFill>
                    <a:blip r:embed="rId16"/>
                    <a:stretch>
                      <a:fillRect/>
                    </a:stretch>
                  </pic:blipFill>
                  <pic:spPr>
                    <a:xfrm>
                      <a:off x="0" y="0"/>
                      <a:ext cx="531318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6842363, E 575091 i SWEREF 99 TM.</w:t>
      </w:r>
    </w:p>
    <w:p>
      <w:r>
        <w:t>I avverkningsanmälan finns fynd av 16 naturvårdsarter, varav 7 är rödlistade, 1 är fridlyst, 13 är typiska (T) och 9 är signalarter (S): garnlav (VU, T), knärot (VU, T, §8), gammelgransskål (NT, T), gullpudra (NT, T), kattfotslav (NT, T), ullticka (NT, T), vitgrynig nållav (NT), bronshjon (S, T), grönpyrola (S, T), gulnål (S, T), korallblylav (S, T), källpraktmossa (S, T), mörk husmossa (S, T), rödgul trumpetsvamp (S), skogsbräsma (S)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2.36 ha med buffertzonerna och får av detta skäl inte avverkas.</w:t>
      </w:r>
    </w:p>
    <w:p>
      <w:pPr>
        <w:pStyle w:val="Caption"/>
      </w:pPr>
      <w:r>
        <w:drawing>
          <wp:inline xmlns:a="http://schemas.openxmlformats.org/drawingml/2006/main" xmlns:pic="http://schemas.openxmlformats.org/drawingml/2006/picture">
            <wp:extent cx="5486400" cy="5665509"/>
            <wp:docPr id="2" name="Picture 2"/>
            <wp:cNvGraphicFramePr>
              <a:graphicFrameLocks noChangeAspect="1"/>
            </wp:cNvGraphicFramePr>
            <a:graphic>
              <a:graphicData uri="http://schemas.openxmlformats.org/drawingml/2006/picture">
                <pic:pic>
                  <pic:nvPicPr>
                    <pic:cNvPr id="0" name="A 55322-2021 karta knärot.png"/>
                    <pic:cNvPicPr/>
                  </pic:nvPicPr>
                  <pic:blipFill>
                    <a:blip r:embed="rId17"/>
                    <a:stretch>
                      <a:fillRect/>
                    </a:stretch>
                  </pic:blipFill>
                  <pic:spPr>
                    <a:xfrm>
                      <a:off x="0" y="0"/>
                      <a:ext cx="5486400" cy="56655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6842363, E 575091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