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1231-2025 i Ljusdals kommun</w:t>
      </w:r>
    </w:p>
    <w:p>
      <w:r>
        <w:t>Denna tillsynsbegäran behandlar höga naturvärden i samrådsanmälan S 1231-2025 i Ljusdals kommun som inkom 2025-04-14 och omfattar 30,9 ha.</w:t>
      </w:r>
    </w:p>
    <w:p>
      <w:pPr>
        <w:pStyle w:val="Caption"/>
      </w:pPr>
      <w:r>
        <w:drawing>
          <wp:inline xmlns:a="http://schemas.openxmlformats.org/drawingml/2006/main" xmlns:pic="http://schemas.openxmlformats.org/drawingml/2006/picture">
            <wp:extent cx="5145765" cy="5724000"/>
            <wp:docPr id="1" name="Picture 1"/>
            <wp:cNvGraphicFramePr>
              <a:graphicFrameLocks noChangeAspect="1"/>
            </wp:cNvGraphicFramePr>
            <a:graphic>
              <a:graphicData uri="http://schemas.openxmlformats.org/drawingml/2006/picture">
                <pic:pic>
                  <pic:nvPicPr>
                    <pic:cNvPr id="0" name="S 1231-2025 karta.png"/>
                    <pic:cNvPicPr/>
                  </pic:nvPicPr>
                  <pic:blipFill>
                    <a:blip r:embed="rId16"/>
                    <a:stretch>
                      <a:fillRect/>
                    </a:stretch>
                  </pic:blipFill>
                  <pic:spPr>
                    <a:xfrm>
                      <a:off x="0" y="0"/>
                      <a:ext cx="5145765"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6852638, E 479093 i SWEREF 99 TM.</w:t>
      </w:r>
    </w:p>
    <w:p>
      <w:r>
        <w:t>I och inom 24 meter från samrådsanmälan finns fynd av 26 naturvårdsarter, varav 20 är rödlistade, 6 är fridlysta, 19 är typiska (T) och 4 är signalarter (S): garnlav (VU, T), gräddporing (VU, T), gränsticka (VU, T), knärot (VU, T, §8), blågrå svartspik (NT), dropptaggsvamp (NT, T), dvärgbägarlav (NT, T), gammelgransskål (NT, T), kolflarnlav (NT, T), lunglav (NT, T), mörk kolflarnlav (NT), nordtagging (NT), skrovellav (NT, T), skuggblåslav (NT, T), tallticka (NT, T), talltita (NT, §4), tretåig hackspett (NT, T, §4), varglav (NT, §8), vedflamlav (NT), vedskivlav (NT, T), grönpyrola (S, T), norrlandslav (S, T), nästlav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41 fyndplatser för knärot registrerade på Artportalen. Figur 2 visar gränserna för buffertzoner på 50 m, som behöver lämnas kring fyndplatserna för att knärotslokalerna inte ska försvinna vid en avverkning. Av det samrådsanmälda området överlappar 9.83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S 1231-2025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6852638, E 479093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gräddporing (VU, T), gränsticka (VU, T), knärot (VU, T, §8), dropptaggsvamp (NT, T), dvärgbägarlav (NT, T), gammelgransskål (NT, T), kolflarnlav (NT, T), lunglav (NT, T), skrovellav (NT, T), skuggblåslav (NT, T), tallticka (NT, T), tretåig hackspett (NT, T, §4), vedskivlav (NT, T), grönpyrola (S, T), norrlandslav (S,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