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3386-2025 i Ljusdals kommun</w:t>
      </w:r>
    </w:p>
    <w:p>
      <w:r>
        <w:t>Detta klagomål behandlar höga naturvärden i samrådsanmälan S 3386-2025 i Ljusdals kommun som inkom 2025-12-02 och omfattar 281,5 ha.</w:t>
      </w:r>
    </w:p>
    <w:p>
      <w:pPr>
        <w:pStyle w:val="Caption"/>
      </w:pPr>
      <w:r>
        <w:drawing>
          <wp:inline xmlns:a="http://schemas.openxmlformats.org/drawingml/2006/main" xmlns:pic="http://schemas.openxmlformats.org/drawingml/2006/picture">
            <wp:extent cx="5486400" cy="3890664"/>
            <wp:docPr id="1" name="Picture 1"/>
            <wp:cNvGraphicFramePr>
              <a:graphicFrameLocks noChangeAspect="1"/>
            </wp:cNvGraphicFramePr>
            <a:graphic>
              <a:graphicData uri="http://schemas.openxmlformats.org/drawingml/2006/picture">
                <pic:pic>
                  <pic:nvPicPr>
                    <pic:cNvPr id="0" name="S 3386-2025 karta.png"/>
                    <pic:cNvPicPr/>
                  </pic:nvPicPr>
                  <pic:blipFill>
                    <a:blip r:embed="rId16"/>
                    <a:stretch>
                      <a:fillRect/>
                    </a:stretch>
                  </pic:blipFill>
                  <pic:spPr>
                    <a:xfrm>
                      <a:off x="0" y="0"/>
                      <a:ext cx="5486400" cy="389066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6900360, E 551530 i SWEREF 99 TM.</w:t>
      </w:r>
    </w:p>
    <w:p>
      <w:r>
        <w:t>I och inom 25 meter från samrådsanmälan finns fynd av 12 naturvårdsarter, varav 5 är rödlistade, 6 är fridlysta, 7 är typiska (T) och 3 är signalarter (S): garnlav (VU, T), blanksvart spiklav (NT), blågrå svartspik (NT), lunglav (NT, T), talltita (NT, §4), bårdlav (S, T), luddlav (S, T), spindelblomster (S, T, §8), spillkråka (T, §4),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