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31463-2022 i Ljusdals kommun</w:t>
      </w:r>
    </w:p>
    <w:p>
      <w:r>
        <w:t>Detta klagomål behandlar höga naturvärden i avverkningsanmälan A 31463-2022 i Ljusdals kommun som inkom 2022-08-01 och omfattar 4,3 ha.</w:t>
      </w:r>
    </w:p>
    <w:p>
      <w:pPr>
        <w:pStyle w:val="Caption"/>
      </w:pPr>
      <w:r>
        <w:drawing>
          <wp:inline xmlns:a="http://schemas.openxmlformats.org/drawingml/2006/main" xmlns:pic="http://schemas.openxmlformats.org/drawingml/2006/picture">
            <wp:extent cx="5486400" cy="5165889"/>
            <wp:docPr id="1" name="Picture 1"/>
            <wp:cNvGraphicFramePr>
              <a:graphicFrameLocks noChangeAspect="1"/>
            </wp:cNvGraphicFramePr>
            <a:graphic>
              <a:graphicData uri="http://schemas.openxmlformats.org/drawingml/2006/picture">
                <pic:pic>
                  <pic:nvPicPr>
                    <pic:cNvPr id="0" name="A 31463-2022 karta.png"/>
                    <pic:cNvPicPr/>
                  </pic:nvPicPr>
                  <pic:blipFill>
                    <a:blip r:embed="rId16"/>
                    <a:stretch>
                      <a:fillRect/>
                    </a:stretch>
                  </pic:blipFill>
                  <pic:spPr>
                    <a:xfrm>
                      <a:off x="0" y="0"/>
                      <a:ext cx="5486400" cy="5165889"/>
                    </a:xfrm>
                    <a:prstGeom prst="rect"/>
                  </pic:spPr>
                </pic:pic>
              </a:graphicData>
            </a:graphic>
          </wp:inline>
        </w:drawing>
      </w:r>
    </w:p>
    <w:p>
      <w:pPr>
        <w:pStyle w:val="Caption"/>
        <w:spacing w:after="240"/>
      </w:pPr>
      <w:r>
        <w:t>Figur 1. Fyndplatser för naturvårdsarter i och inom 20 meter från avverkningsanmälan. Markörer utan svart kant är placerade på fyndplatsen. Markörer med svart kant är placerade vid sidan av fyndplatsen och har ett svart streck som visar fyndplatsens exakta position. Kartans mittpunktskoordinat är N 6910399, E 532705 i SWEREF 99 TM.</w:t>
      </w:r>
    </w:p>
    <w:p>
      <w:r>
        <w:t>I och inom 20 meter från avverkningsanmälan finns fynd av 12 naturvårdsarter, varav 10 är rödlistade, 3 är fridlysta, 9 är typiska (T) och 1 är signalart (S): garnlav (VU, T), gräddporing (VU, T), knärot (VU, T, §8), kolflarnlav (NT, T), kortskaftad ärgspik (NT), lunglav (NT, T), mörk kolflarnlav (NT), tretåig hackspett (NT, T, §4), vedflikmossa (NT), vedtrappmossa (NT, T), skinnlav (S, T) och tjäder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Gräddporing är typisk art för </w:t>
      </w:r>
      <w:r>
        <w:rPr>
          <w:i/>
        </w:rPr>
        <w:t>9010 Taiga</w:t>
      </w:r>
      <w:r>
        <w:t xml:space="preserve"> (SLU Artdatabanken, 2024; Nitare &amp; Skogsstyrelsen, 2019).</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0.79 ha med buffertzonerna och får av detta skäl inte avverkas.</w:t>
      </w:r>
    </w:p>
    <w:p>
      <w:pPr>
        <w:pStyle w:val="Caption"/>
      </w:pPr>
      <w:r>
        <w:drawing>
          <wp:inline xmlns:a="http://schemas.openxmlformats.org/drawingml/2006/main" xmlns:pic="http://schemas.openxmlformats.org/drawingml/2006/picture">
            <wp:extent cx="5486400" cy="4928333"/>
            <wp:docPr id="2" name="Picture 2"/>
            <wp:cNvGraphicFramePr>
              <a:graphicFrameLocks noChangeAspect="1"/>
            </wp:cNvGraphicFramePr>
            <a:graphic>
              <a:graphicData uri="http://schemas.openxmlformats.org/drawingml/2006/picture">
                <pic:pic>
                  <pic:nvPicPr>
                    <pic:cNvPr id="0" name="A 31463-2022 karta knärot.png"/>
                    <pic:cNvPicPr/>
                  </pic:nvPicPr>
                  <pic:blipFill>
                    <a:blip r:embed="rId17"/>
                    <a:stretch>
                      <a:fillRect/>
                    </a:stretch>
                  </pic:blipFill>
                  <pic:spPr>
                    <a:xfrm>
                      <a:off x="0" y="0"/>
                      <a:ext cx="5486400" cy="4928333"/>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6910399, E 532705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 xml:space="preserve">Vedflikmossa (NT) </w:t>
      </w:r>
      <w:r>
        <w:t>är strikt knuten till död ved i främst Norrlands barrskogar. Fanns tidigare även i södra Sveriges skogar men är borta där. Eftersom arten huvudsakligen är hänvisad till skog där träd fått växa kontinuerligt under flera hundra år (kontinuitetsskog), inte klarar av en kalhyggesfas och har svårt att sprida sig över stora avstånd, bedöms populationen fortsätta att minska på grund av dagens avverkningstakt av kontinuitetsskog. För att hejda populationsminskningen av denna art måste kalavverkning i de barrskogar som tidigare aldrig kalhuggits (kontinuitetsskog) upphöra eller begränsas kraftigt (SLU Artdatabanken, 2024).</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12 naturvårdsarter varav 10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