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104-2022 i Ljusdals kommun</w:t>
      </w:r>
    </w:p>
    <w:p>
      <w:r>
        <w:t>Detta klagomål behandlar höga naturvärden i samrådsanmälan S 104-2022 i Ljusdals kommun som inkom 2022-01-05 och omfattar 126,0 ha.</w:t>
      </w:r>
    </w:p>
    <w:p>
      <w:pPr>
        <w:pStyle w:val="Caption"/>
      </w:pPr>
      <w:r>
        <w:drawing>
          <wp:inline xmlns:a="http://schemas.openxmlformats.org/drawingml/2006/main" xmlns:pic="http://schemas.openxmlformats.org/drawingml/2006/picture">
            <wp:extent cx="5486400" cy="3421930"/>
            <wp:docPr id="1" name="Picture 1"/>
            <wp:cNvGraphicFramePr>
              <a:graphicFrameLocks noChangeAspect="1"/>
            </wp:cNvGraphicFramePr>
            <a:graphic>
              <a:graphicData uri="http://schemas.openxmlformats.org/drawingml/2006/picture">
                <pic:pic>
                  <pic:nvPicPr>
                    <pic:cNvPr id="0" name="S 104-2022 karta.png"/>
                    <pic:cNvPicPr/>
                  </pic:nvPicPr>
                  <pic:blipFill>
                    <a:blip r:embed="rId16"/>
                    <a:stretch>
                      <a:fillRect/>
                    </a:stretch>
                  </pic:blipFill>
                  <pic:spPr>
                    <a:xfrm>
                      <a:off x="0" y="0"/>
                      <a:ext cx="5486400" cy="342193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6885755, E 551679 i SWEREF 99 TM.</w:t>
      </w:r>
    </w:p>
    <w:p>
      <w:r>
        <w:t>I och inom 22 meter från samrådsanmälan finns fynd av 5 naturvårdsarter, varav 3 är rödlistade, 1 är fridlyst, 2 är typiska (T) och 1 är signalart (S): garnlav (VU, T), flikbålmossa (NT), gammelgransskål (NT, T), rödgul trumpetsvamp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